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cs="Times New Roman"/>
          <w:b/>
          <w:bCs/>
          <w:color w:val="000000" w:themeColor="text1"/>
          <w:kern w:val="2"/>
          <w:sz w:val="40"/>
          <w:szCs w:val="40"/>
          <w:lang w:val="en-US" w:eastAsia="zh-CN" w:bidi="ar-SA"/>
          <w14:textFill>
            <w14:solidFill>
              <w14:schemeClr w14:val="tx1"/>
            </w14:solidFill>
          </w14:textFill>
        </w:rPr>
      </w:pPr>
    </w:p>
    <w:p>
      <w:pPr>
        <w:jc w:val="center"/>
        <w:rPr>
          <w:rFonts w:hint="eastAsia" w:ascii="仿宋_GB2312" w:hAnsi="仿宋" w:eastAsia="仿宋_GB2312" w:cs="Times New Roman"/>
          <w:b/>
          <w:bCs/>
          <w:color w:val="000000" w:themeColor="text1"/>
          <w:kern w:val="2"/>
          <w:sz w:val="40"/>
          <w:szCs w:val="40"/>
          <w:lang w:val="en-US" w:eastAsia="zh-CN" w:bidi="ar-SA"/>
          <w14:textFill>
            <w14:solidFill>
              <w14:schemeClr w14:val="tx1"/>
            </w14:solidFill>
          </w14:textFill>
        </w:rPr>
      </w:pPr>
      <w:r>
        <w:rPr>
          <w:rFonts w:hint="eastAsia" w:ascii="仿宋_GB2312" w:hAnsi="仿宋" w:eastAsia="仿宋_GB2312" w:cs="Times New Roman"/>
          <w:b/>
          <w:bCs/>
          <w:color w:val="000000" w:themeColor="text1"/>
          <w:kern w:val="2"/>
          <w:sz w:val="40"/>
          <w:szCs w:val="40"/>
          <w:lang w:val="en-US" w:eastAsia="zh-CN" w:bidi="ar-SA"/>
          <w14:textFill>
            <w14:solidFill>
              <w14:schemeClr w14:val="tx1"/>
            </w14:solidFill>
          </w14:textFill>
        </w:rPr>
        <w:t>山东农业大学林学院</w:t>
      </w:r>
    </w:p>
    <w:p>
      <w:pPr>
        <w:jc w:val="center"/>
        <w:rPr>
          <w:rFonts w:hint="eastAsia" w:ascii="仿宋_GB2312" w:hAnsi="仿宋" w:eastAsia="仿宋_GB2312" w:cs="Times New Roman"/>
          <w:b/>
          <w:bCs/>
          <w:color w:val="000000" w:themeColor="text1"/>
          <w:kern w:val="2"/>
          <w:sz w:val="40"/>
          <w:szCs w:val="40"/>
          <w:lang w:val="en-US" w:eastAsia="zh-CN" w:bidi="ar-SA"/>
          <w14:textFill>
            <w14:solidFill>
              <w14:schemeClr w14:val="tx1"/>
            </w14:solidFill>
          </w14:textFill>
        </w:rPr>
      </w:pPr>
    </w:p>
    <w:p>
      <w:pPr>
        <w:jc w:val="center"/>
        <w:rPr>
          <w:rFonts w:hint="eastAsia" w:ascii="仿宋_GB2312" w:hAnsi="仿宋" w:eastAsia="仿宋_GB2312" w:cs="Times New Roman"/>
          <w:b/>
          <w:bCs/>
          <w:color w:val="000000" w:themeColor="text1"/>
          <w:kern w:val="2"/>
          <w:sz w:val="40"/>
          <w:szCs w:val="40"/>
          <w:lang w:val="en-US" w:eastAsia="zh-CN" w:bidi="ar-SA"/>
          <w14:textFill>
            <w14:solidFill>
              <w14:schemeClr w14:val="tx1"/>
            </w14:solidFill>
          </w14:textFill>
        </w:rPr>
      </w:pPr>
      <w:r>
        <w:rPr>
          <w:rFonts w:hint="eastAsia" w:ascii="仿宋_GB2312" w:hAnsi="仿宋" w:eastAsia="仿宋_GB2312" w:cs="Times New Roman"/>
          <w:b/>
          <w:bCs/>
          <w:color w:val="000000" w:themeColor="text1"/>
          <w:kern w:val="2"/>
          <w:sz w:val="40"/>
          <w:szCs w:val="40"/>
          <w:lang w:val="en-US" w:eastAsia="zh-CN" w:bidi="ar-SA"/>
          <w14:textFill>
            <w14:solidFill>
              <w14:schemeClr w14:val="tx1"/>
            </w14:solidFill>
          </w14:textFill>
        </w:rPr>
        <w:t>实验室规章制度简要手册</w:t>
      </w:r>
    </w:p>
    <w:p>
      <w:pPr>
        <w:jc w:val="cente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p>
    <w:p>
      <w:pPr>
        <w:jc w:val="cente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p>
    <w:p>
      <w:pPr>
        <w:jc w:val="cente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p>
    <w:p>
      <w:pPr>
        <w:jc w:val="cente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2021年10月</w:t>
      </w:r>
    </w:p>
    <w:p>
      <w:pPr>
        <w:jc w:val="cente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p>
    <w:p>
      <w:pPr>
        <w:pStyle w:val="4"/>
        <w:bidi w:val="0"/>
        <w:rPr>
          <w:rFonts w:hint="eastAsia"/>
          <w:lang w:val="en-US" w:eastAsia="zh-CN"/>
        </w:rPr>
      </w:pPr>
      <w:r>
        <w:rPr>
          <w:rFonts w:hint="eastAsia"/>
          <w:lang w:val="en-US" w:eastAsia="zh-CN"/>
        </w:rPr>
        <w:t>林学院实验室制度与安全卫生守则</w:t>
      </w:r>
    </w:p>
    <w:p>
      <w:pPr>
        <w:numPr>
          <w:ilvl w:val="0"/>
          <w:numId w:val="0"/>
        </w:numPr>
        <w:bidi w:val="0"/>
        <w:rPr>
          <w:rFonts w:hint="eastAsia"/>
          <w:lang w:eastAsia="zh-CN"/>
        </w:rPr>
      </w:pPr>
      <w:r>
        <w:rPr>
          <w:rFonts w:hint="eastAsia"/>
          <w:lang w:val="en-US" w:eastAsia="zh-CN"/>
        </w:rPr>
        <w:t xml:space="preserve">    一、</w:t>
      </w:r>
      <w:r>
        <w:rPr>
          <w:rFonts w:hint="eastAsia"/>
          <w:lang w:eastAsia="zh-CN"/>
        </w:rPr>
        <w:t>进入实验室前须认真学习《林学院实验室规章制度简明手册》，严格遵守学校、学院实验室各项规章制度，进行仪器操作培训。</w:t>
      </w:r>
    </w:p>
    <w:p>
      <w:pPr>
        <w:numPr>
          <w:ilvl w:val="0"/>
          <w:numId w:val="0"/>
        </w:numPr>
        <w:bidi w:val="0"/>
        <w:ind w:firstLine="420" w:firstLineChars="200"/>
        <w:rPr>
          <w:rFonts w:hint="eastAsia"/>
          <w:lang w:eastAsia="zh-CN"/>
        </w:rPr>
      </w:pPr>
      <w:r>
        <w:rPr>
          <w:rFonts w:hint="eastAsia"/>
          <w:lang w:eastAsia="zh-CN"/>
        </w:rPr>
        <w:t>二、使用前须预约登记、办理实验证并签订安全卫生承诺书，经许可方可使用实验室及设备。</w:t>
      </w:r>
    </w:p>
    <w:p>
      <w:pPr>
        <w:numPr>
          <w:ilvl w:val="0"/>
          <w:numId w:val="0"/>
        </w:numPr>
        <w:bidi w:val="0"/>
        <w:ind w:firstLine="420" w:firstLineChars="200"/>
        <w:rPr>
          <w:rFonts w:hint="eastAsia"/>
          <w:lang w:val="en-US" w:eastAsia="zh-CN"/>
        </w:rPr>
      </w:pPr>
      <w:r>
        <w:rPr>
          <w:rFonts w:hint="eastAsia"/>
          <w:lang w:eastAsia="zh-CN"/>
        </w:rPr>
        <w:t>三、</w:t>
      </w:r>
      <w:r>
        <w:rPr>
          <w:rFonts w:hint="eastAsia"/>
        </w:rPr>
        <w:t>使用</w:t>
      </w:r>
      <w:r>
        <w:rPr>
          <w:rFonts w:hint="eastAsia"/>
          <w:lang w:eastAsia="zh-CN"/>
        </w:rPr>
        <w:t>时（尤其是烘箱、压力容器等特种设备）</w:t>
      </w:r>
      <w:r>
        <w:rPr>
          <w:rFonts w:hint="eastAsia"/>
        </w:rPr>
        <w:t>须</w:t>
      </w:r>
      <w:r>
        <w:rPr>
          <w:rFonts w:hint="eastAsia"/>
          <w:lang w:eastAsia="zh-CN"/>
        </w:rPr>
        <w:t>做</w:t>
      </w:r>
      <w:r>
        <w:rPr>
          <w:rFonts w:hint="eastAsia"/>
        </w:rPr>
        <w:t>使用登记，如实填写使用时间</w:t>
      </w:r>
      <w:r>
        <w:rPr>
          <w:rFonts w:hint="eastAsia"/>
          <w:lang w:eastAsia="zh-CN"/>
        </w:rPr>
        <w:t>并</w:t>
      </w:r>
      <w:r>
        <w:rPr>
          <w:rFonts w:hint="eastAsia"/>
        </w:rPr>
        <w:t>放置实验证，否则将被终止实验。因</w:t>
      </w:r>
      <w:r>
        <w:rPr>
          <w:rFonts w:hint="eastAsia"/>
          <w:lang w:eastAsia="zh-CN"/>
        </w:rPr>
        <w:t>仪器</w:t>
      </w:r>
      <w:r>
        <w:rPr>
          <w:rFonts w:hint="eastAsia"/>
        </w:rPr>
        <w:t>操作</w:t>
      </w:r>
      <w:r>
        <w:rPr>
          <w:rFonts w:hint="eastAsia"/>
          <w:lang w:eastAsia="zh-CN"/>
        </w:rPr>
        <w:t>失误</w:t>
      </w:r>
      <w:r>
        <w:rPr>
          <w:rFonts w:hint="eastAsia"/>
        </w:rPr>
        <w:t>造成仪器损坏</w:t>
      </w:r>
      <w:r>
        <w:rPr>
          <w:rFonts w:hint="eastAsia"/>
          <w:lang w:eastAsia="zh-CN"/>
        </w:rPr>
        <w:t>应及时上报，</w:t>
      </w:r>
      <w:r>
        <w:rPr>
          <w:rFonts w:hint="eastAsia"/>
        </w:rPr>
        <w:t>负责维修</w:t>
      </w:r>
      <w:r>
        <w:rPr>
          <w:rFonts w:hint="eastAsia"/>
          <w:lang w:eastAsia="zh-CN"/>
        </w:rPr>
        <w:t>或赔偿。</w:t>
      </w:r>
    </w:p>
    <w:p>
      <w:pPr>
        <w:numPr>
          <w:ilvl w:val="0"/>
          <w:numId w:val="0"/>
        </w:numPr>
        <w:bidi w:val="0"/>
        <w:ind w:firstLine="420" w:firstLineChars="200"/>
        <w:rPr>
          <w:rFonts w:hint="eastAsia"/>
          <w:lang w:val="en-US" w:eastAsia="zh-CN"/>
        </w:rPr>
      </w:pPr>
      <w:r>
        <w:rPr>
          <w:rFonts w:hint="eastAsia"/>
          <w:lang w:eastAsia="zh-CN"/>
        </w:rPr>
        <w:t>四、</w:t>
      </w:r>
      <w:r>
        <w:rPr>
          <w:rFonts w:hint="eastAsia"/>
        </w:rPr>
        <w:t>实验结束后，及时清理仪器及周边卫生，带走垃圾</w:t>
      </w:r>
      <w:r>
        <w:rPr>
          <w:rFonts w:hint="eastAsia"/>
          <w:lang w:eastAsia="zh-CN"/>
        </w:rPr>
        <w:t>及</w:t>
      </w:r>
      <w:r>
        <w:rPr>
          <w:rFonts w:hint="eastAsia"/>
        </w:rPr>
        <w:t>实验用品（器皿、药品试剂等），禁止存放于公共实验室</w:t>
      </w:r>
      <w:r>
        <w:rPr>
          <w:rFonts w:hint="eastAsia"/>
          <w:lang w:eastAsia="zh-CN"/>
        </w:rPr>
        <w:t>；严格化学品使用、存放管理、</w:t>
      </w:r>
      <w:r>
        <w:rPr>
          <w:rFonts w:hint="eastAsia"/>
        </w:rPr>
        <w:t>废液</w:t>
      </w:r>
      <w:r>
        <w:rPr>
          <w:rFonts w:hint="eastAsia"/>
          <w:lang w:eastAsia="zh-CN"/>
        </w:rPr>
        <w:t>回收管理，</w:t>
      </w:r>
      <w:r>
        <w:rPr>
          <w:rFonts w:hint="eastAsia"/>
        </w:rPr>
        <w:t>禁止向水池倾倒</w:t>
      </w:r>
      <w:r>
        <w:rPr>
          <w:rFonts w:hint="eastAsia"/>
          <w:lang w:eastAsia="zh-CN"/>
        </w:rPr>
        <w:t>废液</w:t>
      </w:r>
      <w:r>
        <w:rPr>
          <w:rFonts w:hint="eastAsia"/>
        </w:rPr>
        <w:t>。</w:t>
      </w:r>
      <w:r>
        <w:rPr>
          <w:rFonts w:hint="eastAsia"/>
          <w:lang w:eastAsia="zh-CN"/>
        </w:rPr>
        <w:t>最后离开者负责关闭水电门窗。</w:t>
      </w:r>
    </w:p>
    <w:p>
      <w:pPr>
        <w:numPr>
          <w:ilvl w:val="0"/>
          <w:numId w:val="0"/>
        </w:numPr>
        <w:bidi w:val="0"/>
        <w:ind w:firstLine="420" w:firstLineChars="200"/>
        <w:rPr>
          <w:rFonts w:hint="eastAsia"/>
          <w:lang w:eastAsia="zh-CN"/>
        </w:rPr>
      </w:pPr>
      <w:r>
        <w:rPr>
          <w:rFonts w:hint="eastAsia"/>
          <w:lang w:eastAsia="zh-CN"/>
        </w:rPr>
        <w:t>五、</w:t>
      </w:r>
      <w:r>
        <w:rPr>
          <w:rFonts w:hint="eastAsia"/>
        </w:rPr>
        <w:t>不穿实验服者</w:t>
      </w:r>
      <w:r>
        <w:rPr>
          <w:rFonts w:hint="eastAsia"/>
          <w:lang w:eastAsia="zh-CN"/>
        </w:rPr>
        <w:t>、着装不规范者</w:t>
      </w:r>
      <w:r>
        <w:rPr>
          <w:rFonts w:hint="eastAsia"/>
        </w:rPr>
        <w:t>禁止进入实验室。</w:t>
      </w:r>
      <w:r>
        <w:rPr>
          <w:rFonts w:hint="eastAsia"/>
          <w:lang w:eastAsia="zh-CN"/>
        </w:rPr>
        <w:t>不当</w:t>
      </w:r>
      <w:r>
        <w:rPr>
          <w:rFonts w:hint="eastAsia"/>
        </w:rPr>
        <w:t>行为将被有效监控</w:t>
      </w:r>
      <w:r>
        <w:rPr>
          <w:rFonts w:hint="eastAsia"/>
          <w:lang w:eastAsia="zh-CN"/>
        </w:rPr>
        <w:t>。</w:t>
      </w:r>
    </w:p>
    <w:p>
      <w:pPr>
        <w:numPr>
          <w:ilvl w:val="0"/>
          <w:numId w:val="0"/>
        </w:numPr>
        <w:bidi w:val="0"/>
        <w:ind w:firstLine="420" w:firstLineChars="200"/>
        <w:rPr>
          <w:rFonts w:hint="eastAsia"/>
          <w:lang w:eastAsia="zh-CN"/>
        </w:rPr>
        <w:sectPr>
          <w:headerReference r:id="rId3" w:type="default"/>
          <w:pgSz w:w="12240" w:h="15840"/>
          <w:pgMar w:top="1134" w:right="1134" w:bottom="1134" w:left="1418" w:header="720" w:footer="720" w:gutter="0"/>
          <w:cols w:space="720" w:num="1"/>
        </w:sectPr>
      </w:pPr>
    </w:p>
    <w:p>
      <w:pPr>
        <w:jc w:val="center"/>
        <w:rPr>
          <w:rFonts w:hint="eastAsia"/>
          <w:sz w:val="32"/>
          <w:szCs w:val="40"/>
          <w:lang w:eastAsia="zh-CN"/>
        </w:rPr>
      </w:pPr>
      <w:r>
        <w:rPr>
          <w:rFonts w:hint="eastAsia"/>
          <w:sz w:val="32"/>
          <w:szCs w:val="40"/>
          <w:lang w:eastAsia="zh-CN"/>
        </w:rPr>
        <w:t>实验室安全卫生承诺签字表</w:t>
      </w: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56"/>
        <w:gridCol w:w="1086"/>
        <w:gridCol w:w="1029"/>
        <w:gridCol w:w="1071"/>
        <w:gridCol w:w="823"/>
        <w:gridCol w:w="1029"/>
        <w:gridCol w:w="1142"/>
        <w:gridCol w:w="105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pPr>
              <w:ind w:firstLine="560" w:firstLineChars="200"/>
              <w:jc w:val="left"/>
              <w:rPr>
                <w:rFonts w:hint="eastAsia"/>
                <w:sz w:val="28"/>
                <w:szCs w:val="36"/>
                <w:vertAlign w:val="baseline"/>
                <w:lang w:eastAsia="zh-CN"/>
              </w:rPr>
            </w:pPr>
            <w:r>
              <w:rPr>
                <w:rFonts w:hint="eastAsia"/>
                <w:sz w:val="28"/>
                <w:szCs w:val="36"/>
                <w:lang w:eastAsia="zh-CN"/>
              </w:rPr>
              <w:t>本人承诺进入实验室前已征得导师同意，已认真学习《林学院实验室规章制度简明手册》，已进行仪器操作培训。本人将严格遵守学校、学院实验室各项规章制度，如有违反，愿意担责。（每人在每个实验室只签一次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日</w:t>
            </w:r>
            <w:r>
              <w:rPr>
                <w:rFonts w:hint="eastAsia"/>
                <w:sz w:val="28"/>
                <w:szCs w:val="36"/>
                <w:vertAlign w:val="baseline"/>
                <w:lang w:val="en-US" w:eastAsia="zh-CN"/>
              </w:rPr>
              <w:t xml:space="preserve"> </w:t>
            </w:r>
            <w:r>
              <w:rPr>
                <w:rFonts w:hint="eastAsia"/>
                <w:sz w:val="28"/>
                <w:szCs w:val="36"/>
                <w:vertAlign w:val="baseline"/>
                <w:lang w:eastAsia="zh-CN"/>
              </w:rPr>
              <w:t>期</w:t>
            </w:r>
          </w:p>
        </w:tc>
        <w:tc>
          <w:tcPr>
            <w:tcW w:w="483" w:type="pct"/>
            <w:vAlign w:val="center"/>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cstheme="minorBidi"/>
                <w:kern w:val="2"/>
                <w:sz w:val="28"/>
                <w:szCs w:val="36"/>
                <w:vertAlign w:val="baseline"/>
                <w:lang w:val="en-US" w:eastAsia="zh-CN" w:bidi="ar-SA"/>
              </w:rPr>
              <w:t>本人签名</w:t>
            </w:r>
          </w:p>
        </w:tc>
        <w:tc>
          <w:tcPr>
            <w:tcW w:w="549" w:type="pct"/>
            <w:vAlign w:val="center"/>
          </w:tcPr>
          <w:p>
            <w:pPr>
              <w:jc w:val="center"/>
              <w:rPr>
                <w:rFonts w:hint="eastAsia" w:cstheme="minorBidi"/>
                <w:kern w:val="2"/>
                <w:sz w:val="28"/>
                <w:szCs w:val="36"/>
                <w:vertAlign w:val="baseline"/>
                <w:lang w:val="en-US" w:eastAsia="zh-CN" w:bidi="ar-SA"/>
              </w:rPr>
            </w:pPr>
            <w:r>
              <w:rPr>
                <w:rFonts w:hint="eastAsia" w:cstheme="minorBidi"/>
                <w:kern w:val="2"/>
                <w:sz w:val="28"/>
                <w:szCs w:val="36"/>
                <w:vertAlign w:val="baseline"/>
                <w:lang w:val="en-US" w:eastAsia="zh-CN" w:bidi="ar-SA"/>
              </w:rPr>
              <w:t>年级专业</w:t>
            </w:r>
          </w:p>
        </w:tc>
        <w:tc>
          <w:tcPr>
            <w:tcW w:w="520" w:type="pct"/>
            <w:vAlign w:val="center"/>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电</w:t>
            </w:r>
            <w:r>
              <w:rPr>
                <w:rFonts w:hint="eastAsia"/>
                <w:sz w:val="28"/>
                <w:szCs w:val="36"/>
                <w:vertAlign w:val="baseline"/>
                <w:lang w:val="en-US" w:eastAsia="zh-CN"/>
              </w:rPr>
              <w:t xml:space="preserve">  </w:t>
            </w:r>
            <w:r>
              <w:rPr>
                <w:rFonts w:hint="eastAsia"/>
                <w:sz w:val="28"/>
                <w:szCs w:val="36"/>
                <w:vertAlign w:val="baseline"/>
                <w:lang w:eastAsia="zh-CN"/>
              </w:rPr>
              <w:t>话</w:t>
            </w:r>
          </w:p>
        </w:tc>
        <w:tc>
          <w:tcPr>
            <w:tcW w:w="541" w:type="pct"/>
            <w:tcBorders>
              <w:right w:val="triple" w:color="auto" w:sz="4" w:space="0"/>
            </w:tcBorders>
            <w:vAlign w:val="center"/>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导师签名</w:t>
            </w:r>
          </w:p>
        </w:tc>
        <w:tc>
          <w:tcPr>
            <w:tcW w:w="416" w:type="pct"/>
            <w:tcBorders>
              <w:left w:val="triple" w:color="auto" w:sz="4" w:space="0"/>
            </w:tcBorders>
            <w:vAlign w:val="center"/>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日</w:t>
            </w:r>
            <w:r>
              <w:rPr>
                <w:rFonts w:hint="eastAsia"/>
                <w:sz w:val="28"/>
                <w:szCs w:val="36"/>
                <w:vertAlign w:val="baseline"/>
                <w:lang w:val="en-US" w:eastAsia="zh-CN"/>
              </w:rPr>
              <w:t xml:space="preserve"> </w:t>
            </w:r>
            <w:r>
              <w:rPr>
                <w:rFonts w:hint="eastAsia"/>
                <w:sz w:val="28"/>
                <w:szCs w:val="36"/>
                <w:vertAlign w:val="baseline"/>
                <w:lang w:eastAsia="zh-CN"/>
              </w:rPr>
              <w:t>期</w:t>
            </w:r>
          </w:p>
        </w:tc>
        <w:tc>
          <w:tcPr>
            <w:tcW w:w="520" w:type="pct"/>
            <w:vAlign w:val="center"/>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cstheme="minorBidi"/>
                <w:kern w:val="2"/>
                <w:sz w:val="28"/>
                <w:szCs w:val="36"/>
                <w:vertAlign w:val="baseline"/>
                <w:lang w:val="en-US" w:eastAsia="zh-CN" w:bidi="ar-SA"/>
              </w:rPr>
              <w:t>本人签名</w:t>
            </w:r>
          </w:p>
        </w:tc>
        <w:tc>
          <w:tcPr>
            <w:tcW w:w="577" w:type="pct"/>
            <w:vAlign w:val="center"/>
          </w:tcPr>
          <w:p>
            <w:pPr>
              <w:jc w:val="center"/>
              <w:rPr>
                <w:rFonts w:hint="eastAsia" w:cstheme="minorBidi"/>
                <w:kern w:val="2"/>
                <w:sz w:val="28"/>
                <w:szCs w:val="36"/>
                <w:vertAlign w:val="baseline"/>
                <w:lang w:val="en-US" w:eastAsia="zh-CN" w:bidi="ar-SA"/>
              </w:rPr>
            </w:pPr>
            <w:r>
              <w:rPr>
                <w:rFonts w:hint="eastAsia" w:cstheme="minorBidi"/>
                <w:kern w:val="2"/>
                <w:sz w:val="28"/>
                <w:szCs w:val="36"/>
                <w:vertAlign w:val="baseline"/>
                <w:lang w:val="en-US" w:eastAsia="zh-CN" w:bidi="ar-SA"/>
              </w:rPr>
              <w:t>年级专业</w:t>
            </w:r>
          </w:p>
        </w:tc>
        <w:tc>
          <w:tcPr>
            <w:tcW w:w="534" w:type="pct"/>
            <w:vAlign w:val="center"/>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电</w:t>
            </w:r>
            <w:r>
              <w:rPr>
                <w:rFonts w:hint="eastAsia"/>
                <w:sz w:val="28"/>
                <w:szCs w:val="36"/>
                <w:vertAlign w:val="baseline"/>
                <w:lang w:val="en-US" w:eastAsia="zh-CN"/>
              </w:rPr>
              <w:t xml:space="preserve">  </w:t>
            </w:r>
            <w:r>
              <w:rPr>
                <w:rFonts w:hint="eastAsia"/>
                <w:sz w:val="28"/>
                <w:szCs w:val="36"/>
                <w:vertAlign w:val="baseline"/>
                <w:lang w:eastAsia="zh-CN"/>
              </w:rPr>
              <w:t>话</w:t>
            </w:r>
          </w:p>
        </w:tc>
        <w:tc>
          <w:tcPr>
            <w:tcW w:w="499" w:type="pct"/>
            <w:vAlign w:val="center"/>
          </w:tcPr>
          <w:p>
            <w:pPr>
              <w:jc w:val="center"/>
              <w:rPr>
                <w:rFonts w:hint="eastAsia" w:asciiTheme="minorHAnsi" w:hAnsiTheme="minorHAnsi" w:eastAsiaTheme="minorEastAsia" w:cstheme="minorBidi"/>
                <w:kern w:val="2"/>
                <w:sz w:val="28"/>
                <w:szCs w:val="36"/>
                <w:vertAlign w:val="baseline"/>
                <w:lang w:val="en-US" w:eastAsia="zh-CN" w:bidi="ar-SA"/>
              </w:rPr>
            </w:pPr>
            <w:r>
              <w:rPr>
                <w:rFonts w:hint="eastAsia"/>
                <w:sz w:val="28"/>
                <w:szCs w:val="36"/>
                <w:vertAlign w:val="baseline"/>
                <w:lang w:eastAsia="zh-CN"/>
              </w:rPr>
              <w:t>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jc w:val="center"/>
              <w:rPr>
                <w:rFonts w:hint="eastAsia"/>
                <w:sz w:val="28"/>
                <w:szCs w:val="36"/>
                <w:vertAlign w:val="baseline"/>
                <w:lang w:eastAsia="zh-CN"/>
              </w:rPr>
            </w:pPr>
          </w:p>
        </w:tc>
        <w:tc>
          <w:tcPr>
            <w:tcW w:w="483" w:type="pct"/>
            <w:vAlign w:val="center"/>
          </w:tcPr>
          <w:p>
            <w:pPr>
              <w:jc w:val="center"/>
              <w:rPr>
                <w:rFonts w:hint="eastAsia"/>
                <w:sz w:val="28"/>
                <w:szCs w:val="36"/>
                <w:vertAlign w:val="baseline"/>
                <w:lang w:eastAsia="zh-CN"/>
              </w:rPr>
            </w:pPr>
          </w:p>
        </w:tc>
        <w:tc>
          <w:tcPr>
            <w:tcW w:w="549" w:type="pct"/>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41" w:type="pct"/>
            <w:tcBorders>
              <w:right w:val="triple" w:color="auto" w:sz="4" w:space="0"/>
            </w:tcBorders>
            <w:vAlign w:val="center"/>
          </w:tcPr>
          <w:p>
            <w:pPr>
              <w:jc w:val="center"/>
              <w:rPr>
                <w:rFonts w:hint="eastAsia"/>
                <w:sz w:val="28"/>
                <w:szCs w:val="36"/>
                <w:vertAlign w:val="baseline"/>
                <w:lang w:eastAsia="zh-CN"/>
              </w:rPr>
            </w:pPr>
          </w:p>
        </w:tc>
        <w:tc>
          <w:tcPr>
            <w:tcW w:w="416" w:type="pct"/>
            <w:tcBorders>
              <w:left w:val="triple" w:color="auto" w:sz="4" w:space="0"/>
            </w:tcBorders>
            <w:vAlign w:val="center"/>
          </w:tcPr>
          <w:p>
            <w:pPr>
              <w:jc w:val="center"/>
              <w:rPr>
                <w:rFonts w:hint="eastAsia"/>
                <w:sz w:val="28"/>
                <w:szCs w:val="36"/>
                <w:vertAlign w:val="baseline"/>
                <w:lang w:eastAsia="zh-CN"/>
              </w:rPr>
            </w:pPr>
          </w:p>
        </w:tc>
        <w:tc>
          <w:tcPr>
            <w:tcW w:w="520" w:type="pct"/>
            <w:vAlign w:val="center"/>
          </w:tcPr>
          <w:p>
            <w:pPr>
              <w:jc w:val="center"/>
              <w:rPr>
                <w:rFonts w:hint="eastAsia"/>
                <w:sz w:val="28"/>
                <w:szCs w:val="36"/>
                <w:vertAlign w:val="baseline"/>
                <w:lang w:eastAsia="zh-CN"/>
              </w:rPr>
            </w:pPr>
          </w:p>
        </w:tc>
        <w:tc>
          <w:tcPr>
            <w:tcW w:w="577" w:type="pct"/>
            <w:vAlign w:val="center"/>
          </w:tcPr>
          <w:p>
            <w:pPr>
              <w:jc w:val="center"/>
              <w:rPr>
                <w:rFonts w:hint="eastAsia"/>
                <w:sz w:val="28"/>
                <w:szCs w:val="36"/>
                <w:vertAlign w:val="baseline"/>
                <w:lang w:eastAsia="zh-CN"/>
              </w:rPr>
            </w:pPr>
          </w:p>
        </w:tc>
        <w:tc>
          <w:tcPr>
            <w:tcW w:w="534" w:type="pct"/>
            <w:vAlign w:val="center"/>
          </w:tcPr>
          <w:p>
            <w:pPr>
              <w:jc w:val="center"/>
              <w:rPr>
                <w:rFonts w:hint="eastAsia"/>
                <w:sz w:val="28"/>
                <w:szCs w:val="36"/>
                <w:vertAlign w:val="baseline"/>
                <w:lang w:eastAsia="zh-CN"/>
              </w:rPr>
            </w:pPr>
          </w:p>
        </w:tc>
        <w:tc>
          <w:tcPr>
            <w:tcW w:w="499" w:type="pct"/>
            <w:vAlign w:val="center"/>
          </w:tcPr>
          <w:p>
            <w:pPr>
              <w:jc w:val="center"/>
              <w:rPr>
                <w:rFonts w:hint="eastAsia"/>
                <w:sz w:val="28"/>
                <w:szCs w:val="36"/>
                <w:vertAlign w:val="baseline"/>
                <w:lang w:eastAsia="zh-CN"/>
              </w:rPr>
            </w:pPr>
          </w:p>
        </w:tc>
      </w:tr>
    </w:tbl>
    <w:p>
      <w:pPr>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pStyle w:val="3"/>
        <w:jc w:val="center"/>
        <w:rPr>
          <w:rFonts w:hint="eastAsia"/>
        </w:rPr>
      </w:pPr>
      <w:r>
        <w:rPr>
          <w:rFonts w:hint="eastAsia"/>
        </w:rPr>
        <w:t>林学院公共实验室实验证管理办法</w:t>
      </w:r>
    </w:p>
    <w:p>
      <w:pPr>
        <w:pStyle w:val="5"/>
        <w:spacing w:line="360" w:lineRule="exact"/>
        <w:ind w:left="0" w:leftChars="0" w:firstLine="560" w:firstLineChars="200"/>
        <w:rPr>
          <w:rFonts w:hint="eastAsia"/>
          <w:sz w:val="28"/>
          <w:szCs w:val="28"/>
        </w:rPr>
      </w:pPr>
      <w:r>
        <w:rPr>
          <w:rFonts w:hint="eastAsia"/>
          <w:sz w:val="28"/>
          <w:szCs w:val="28"/>
        </w:rPr>
        <w:t>为有效使用实验室仪器设备、保障设备安全运行，进入学院公共实验室的学生必须携带实验证，并将实验证放在指定位置，具体办法如下：</w:t>
      </w:r>
    </w:p>
    <w:p>
      <w:pPr>
        <w:pStyle w:val="5"/>
        <w:spacing w:line="360" w:lineRule="exact"/>
        <w:ind w:left="0" w:leftChars="0" w:firstLine="560" w:firstLineChars="200"/>
        <w:rPr>
          <w:rFonts w:hint="eastAsia"/>
          <w:sz w:val="28"/>
          <w:szCs w:val="28"/>
        </w:rPr>
      </w:pPr>
      <w:r>
        <w:rPr>
          <w:rFonts w:hint="eastAsia"/>
          <w:sz w:val="28"/>
          <w:szCs w:val="28"/>
        </w:rPr>
        <w:t>一、实验证的办理</w:t>
      </w:r>
    </w:p>
    <w:p>
      <w:pPr>
        <w:pStyle w:val="5"/>
        <w:spacing w:line="360" w:lineRule="exact"/>
        <w:ind w:left="0" w:leftChars="0" w:firstLine="560" w:firstLineChars="200"/>
        <w:rPr>
          <w:rFonts w:hint="eastAsia"/>
          <w:sz w:val="28"/>
          <w:szCs w:val="28"/>
        </w:rPr>
      </w:pPr>
      <w:r>
        <w:rPr>
          <w:rFonts w:hint="eastAsia"/>
          <w:sz w:val="28"/>
          <w:szCs w:val="28"/>
        </w:rPr>
        <w:t>携带学生证、本人2寸照片3张，到210房间办理。每人可以免费办理实验证3张。实验证为进入实验室的重要证件，应妥善保管，如因损毁、丢失需补办时，按工本费2元/张缴费。</w:t>
      </w:r>
    </w:p>
    <w:p>
      <w:pPr>
        <w:pStyle w:val="5"/>
        <w:spacing w:line="360" w:lineRule="exact"/>
        <w:ind w:left="0" w:leftChars="0" w:firstLine="560" w:firstLineChars="200"/>
        <w:rPr>
          <w:rFonts w:hint="eastAsia"/>
          <w:sz w:val="28"/>
          <w:szCs w:val="28"/>
        </w:rPr>
      </w:pPr>
      <w:r>
        <w:rPr>
          <w:rFonts w:hint="eastAsia"/>
          <w:sz w:val="28"/>
          <w:szCs w:val="28"/>
        </w:rPr>
        <w:t>二、实验证的使用</w:t>
      </w:r>
    </w:p>
    <w:p>
      <w:pPr>
        <w:pStyle w:val="5"/>
        <w:spacing w:line="360" w:lineRule="exact"/>
        <w:ind w:left="0" w:leftChars="0" w:firstLine="560" w:firstLineChars="200"/>
        <w:rPr>
          <w:rFonts w:hint="eastAsia"/>
          <w:sz w:val="28"/>
          <w:szCs w:val="28"/>
        </w:rPr>
      </w:pPr>
      <w:r>
        <w:rPr>
          <w:rFonts w:hint="eastAsia"/>
          <w:sz w:val="28"/>
          <w:szCs w:val="28"/>
        </w:rPr>
        <w:t>1、借用仪器、使用实验室时要凭实验证办理预约手续。</w:t>
      </w:r>
    </w:p>
    <w:p>
      <w:pPr>
        <w:pStyle w:val="5"/>
        <w:spacing w:line="360" w:lineRule="exact"/>
        <w:ind w:left="0" w:leftChars="0" w:firstLine="560" w:firstLineChars="200"/>
        <w:rPr>
          <w:rFonts w:hint="eastAsia"/>
          <w:sz w:val="28"/>
          <w:szCs w:val="28"/>
        </w:rPr>
      </w:pPr>
      <w:r>
        <w:rPr>
          <w:rFonts w:hint="eastAsia"/>
          <w:sz w:val="28"/>
          <w:szCs w:val="28"/>
        </w:rPr>
        <w:t>2、在公共实验室做实验时，应将实验证放在使用仪器旁。如要同时使用多台仪器，则需放置多张实验证。</w:t>
      </w:r>
    </w:p>
    <w:p>
      <w:pPr>
        <w:pStyle w:val="5"/>
        <w:spacing w:line="360" w:lineRule="exact"/>
        <w:ind w:left="0" w:leftChars="0" w:firstLine="560" w:firstLineChars="200"/>
        <w:rPr>
          <w:rFonts w:hint="eastAsia"/>
          <w:sz w:val="28"/>
          <w:szCs w:val="28"/>
        </w:rPr>
      </w:pPr>
      <w:r>
        <w:rPr>
          <w:rFonts w:hint="eastAsia"/>
          <w:sz w:val="28"/>
          <w:szCs w:val="28"/>
        </w:rPr>
        <w:t>三、注意事项</w:t>
      </w:r>
    </w:p>
    <w:p>
      <w:pPr>
        <w:pStyle w:val="5"/>
        <w:spacing w:line="360" w:lineRule="exact"/>
        <w:ind w:left="0" w:leftChars="0" w:firstLine="560" w:firstLineChars="200"/>
        <w:rPr>
          <w:rFonts w:hint="eastAsia"/>
          <w:sz w:val="28"/>
          <w:szCs w:val="28"/>
        </w:rPr>
      </w:pPr>
      <w:r>
        <w:rPr>
          <w:rFonts w:hint="eastAsia"/>
          <w:sz w:val="28"/>
          <w:szCs w:val="28"/>
        </w:rPr>
        <w:t>1、实验证持有人必须遵守实验室各项管理规定，实验证只能本人使用，不能借用，禁止无实验证做实验。未经允许，禁止带领其他无证人员使用仪器。</w:t>
      </w:r>
    </w:p>
    <w:p>
      <w:pPr>
        <w:pStyle w:val="5"/>
        <w:spacing w:line="360" w:lineRule="exact"/>
        <w:ind w:left="0" w:leftChars="0" w:firstLine="560" w:firstLineChars="200"/>
        <w:rPr>
          <w:rFonts w:hint="eastAsia"/>
          <w:sz w:val="28"/>
          <w:szCs w:val="28"/>
        </w:rPr>
      </w:pPr>
      <w:r>
        <w:rPr>
          <w:rFonts w:hint="eastAsia"/>
          <w:sz w:val="28"/>
          <w:szCs w:val="28"/>
        </w:rPr>
        <w:t>2、必须填写设备使用登记</w:t>
      </w:r>
      <w:r>
        <w:rPr>
          <w:rFonts w:hint="eastAsia"/>
          <w:sz w:val="28"/>
          <w:szCs w:val="28"/>
          <w:lang w:eastAsia="zh-CN"/>
        </w:rPr>
        <w:t>表</w:t>
      </w:r>
      <w:r>
        <w:rPr>
          <w:rFonts w:hint="eastAsia"/>
          <w:sz w:val="28"/>
          <w:szCs w:val="28"/>
        </w:rPr>
        <w:t>。严禁使用设备不登记。登记信息应真实完整</w:t>
      </w:r>
      <w:r>
        <w:rPr>
          <w:rFonts w:hint="eastAsia"/>
          <w:sz w:val="28"/>
          <w:szCs w:val="28"/>
          <w:lang w:eastAsia="zh-CN"/>
        </w:rPr>
        <w:t>及时</w:t>
      </w:r>
      <w:r>
        <w:rPr>
          <w:rFonts w:hint="eastAsia"/>
          <w:sz w:val="28"/>
          <w:szCs w:val="28"/>
        </w:rPr>
        <w:t>。</w:t>
      </w:r>
    </w:p>
    <w:p>
      <w:pPr>
        <w:pStyle w:val="5"/>
        <w:spacing w:line="360" w:lineRule="exact"/>
        <w:ind w:left="0" w:leftChars="0" w:firstLine="560" w:firstLineChars="200"/>
        <w:rPr>
          <w:rFonts w:hint="eastAsia"/>
          <w:sz w:val="28"/>
          <w:szCs w:val="28"/>
        </w:rPr>
      </w:pPr>
      <w:r>
        <w:rPr>
          <w:rFonts w:hint="eastAsia"/>
          <w:sz w:val="28"/>
          <w:szCs w:val="28"/>
        </w:rPr>
        <w:t>3、持实验证使用5万元以上贵重仪器设备时，需要经过实验室培训登记后才能使用，禁止未经</w:t>
      </w:r>
      <w:r>
        <w:rPr>
          <w:rFonts w:hint="eastAsia"/>
          <w:sz w:val="28"/>
          <w:szCs w:val="28"/>
          <w:lang w:eastAsia="zh-CN"/>
        </w:rPr>
        <w:t>培训</w:t>
      </w:r>
      <w:r>
        <w:rPr>
          <w:rFonts w:hint="eastAsia"/>
          <w:sz w:val="28"/>
          <w:szCs w:val="28"/>
        </w:rPr>
        <w:t>而使用。</w:t>
      </w:r>
    </w:p>
    <w:p>
      <w:pPr>
        <w:pStyle w:val="5"/>
        <w:spacing w:line="360" w:lineRule="exact"/>
        <w:ind w:left="0" w:leftChars="0" w:firstLine="560" w:firstLineChars="200"/>
        <w:rPr>
          <w:rFonts w:hint="eastAsia"/>
          <w:sz w:val="28"/>
          <w:szCs w:val="28"/>
        </w:rPr>
      </w:pPr>
      <w:r>
        <w:rPr>
          <w:rFonts w:hint="eastAsia"/>
          <w:sz w:val="28"/>
          <w:szCs w:val="28"/>
        </w:rPr>
        <w:t>4、实验期间，发现实验室违规行为、安全隐患、设备故障或损坏要及时报告，对不及时汇报的要追究责任。</w:t>
      </w:r>
    </w:p>
    <w:p>
      <w:pPr>
        <w:pStyle w:val="5"/>
        <w:spacing w:line="360" w:lineRule="exact"/>
        <w:ind w:left="0" w:leftChars="0" w:firstLine="560" w:firstLineChars="200"/>
        <w:rPr>
          <w:rFonts w:hint="eastAsia"/>
          <w:sz w:val="28"/>
          <w:szCs w:val="28"/>
        </w:rPr>
      </w:pPr>
      <w:r>
        <w:rPr>
          <w:rFonts w:hint="eastAsia"/>
          <w:sz w:val="28"/>
          <w:szCs w:val="28"/>
        </w:rPr>
        <w:t>5、实验室老师要定期查看监控录像、进入实验室现场检查。凡发现有违反以上规定者，可以采取暂停实验、切断电源等措施，严重者要上报学院进行通报批评。</w:t>
      </w: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numPr>
          <w:ilvl w:val="0"/>
          <w:numId w:val="0"/>
        </w:numPr>
        <w:bidi w:val="0"/>
        <w:ind w:firstLine="420" w:firstLineChars="200"/>
        <w:rPr>
          <w:rFonts w:hint="eastAsia"/>
          <w:lang w:eastAsia="zh-CN"/>
        </w:rPr>
      </w:pPr>
    </w:p>
    <w:p>
      <w:pPr>
        <w:pStyle w:val="4"/>
        <w:bidi w:val="0"/>
      </w:pPr>
      <w:r>
        <w:t>林学实验教学中心实验教学管理制度</w:t>
      </w:r>
    </w:p>
    <w:p>
      <w:pPr>
        <w:bidi w:val="0"/>
        <w:ind w:firstLine="420" w:firstLineChars="200"/>
      </w:pPr>
      <w:r>
        <w:t>实验教学是实践教学的主要环节之一，对于验证、理解理论知识，掌握实验技能，培养动手能力和创新意识，具有十分重要、不可替代的作用。为切实保障正常的实验教学秩序和实验教学效果，完成规定的实验教学任务，制定本制度。</w:t>
      </w:r>
    </w:p>
    <w:p>
      <w:pPr>
        <w:bidi w:val="0"/>
        <w:ind w:firstLine="420" w:firstLineChars="200"/>
      </w:pPr>
      <w:r>
        <w:t>一、实验教学管理体制</w:t>
      </w:r>
    </w:p>
    <w:p>
      <w:pPr>
        <w:bidi w:val="0"/>
        <w:ind w:firstLine="420" w:firstLineChars="200"/>
      </w:pPr>
      <w:r>
        <w:t>在学院的领导下，建立由分管院长、实验教学中心主任、系主任、实验教师、实验员、督导组专家、教学秘书组成的实验教学管理工作小组。由实验教学中心对实验教学统一安排和管理。</w:t>
      </w:r>
    </w:p>
    <w:p>
      <w:pPr>
        <w:bidi w:val="0"/>
        <w:ind w:firstLine="420" w:firstLineChars="200"/>
      </w:pPr>
      <w:r>
        <w:t>二、实验课竞课制度</w:t>
      </w:r>
    </w:p>
    <w:p>
      <w:pPr>
        <w:bidi w:val="0"/>
        <w:ind w:firstLine="420" w:firstLineChars="200"/>
      </w:pPr>
      <w:r>
        <w:t>建立实验课竞课制度。学期期中至期末，由实验教学中心组织各专业有关任课教师，对下学期必修实验课实行竞课，选择责任心强、教学效果好的教师为主讲教师，负责进行实验教学。</w:t>
      </w:r>
    </w:p>
    <w:p>
      <w:pPr>
        <w:bidi w:val="0"/>
        <w:ind w:firstLine="420" w:firstLineChars="200"/>
      </w:pPr>
      <w:r>
        <w:t>三、实验教材建设</w:t>
      </w:r>
    </w:p>
    <w:p>
      <w:pPr>
        <w:bidi w:val="0"/>
        <w:ind w:firstLine="420" w:firstLineChars="200"/>
      </w:pPr>
      <w:r>
        <w:t>主讲教师根据学校的有关要求，负责组织进行实验大纲、实验教材、实验指导书等的建设。给予一定的工作量。每一门实验课在开课前即应具备上述材料。</w:t>
      </w:r>
    </w:p>
    <w:p>
      <w:pPr>
        <w:bidi w:val="0"/>
        <w:ind w:firstLine="420" w:firstLineChars="200"/>
      </w:pPr>
      <w:r>
        <w:t>四、实验教学秩序</w:t>
      </w:r>
    </w:p>
    <w:p>
      <w:pPr>
        <w:bidi w:val="0"/>
        <w:ind w:firstLine="420" w:firstLineChars="200"/>
      </w:pPr>
      <w:r>
        <w:t>实验教师应在期终前，向实验教学中心提交下学期实验课所用仪器设备和实验材料的详细计划。实验教学中心据此做好实验仪器设备和材料的准备。</w:t>
      </w:r>
    </w:p>
    <w:p>
      <w:pPr>
        <w:bidi w:val="0"/>
        <w:ind w:firstLine="420" w:firstLineChars="200"/>
      </w:pPr>
      <w:r>
        <w:t>实验教师应在开学前，向实验教学中心递交实验课教学日历。注明实验项目、实验内容、日期、节次、</w:t>
      </w:r>
      <w:r>
        <w:rPr>
          <w:rFonts w:hint="eastAsia"/>
          <w:lang w:eastAsia="zh-CN"/>
        </w:rPr>
        <w:t>上课地点</w:t>
      </w:r>
      <w:r>
        <w:t>。</w:t>
      </w:r>
    </w:p>
    <w:p>
      <w:pPr>
        <w:bidi w:val="0"/>
        <w:ind w:firstLine="420" w:firstLineChars="200"/>
      </w:pPr>
      <w:r>
        <w:t>实验教学中心应在开学前一周安排好各门实验课程的上课地点（实验室），制定出每个实验室实验课程表、实验教学中心总课程表。在开学前一周将实验课程表下达给实验员。</w:t>
      </w:r>
    </w:p>
    <w:p>
      <w:pPr>
        <w:bidi w:val="0"/>
        <w:ind w:firstLine="420" w:firstLineChars="200"/>
      </w:pPr>
      <w:r>
        <w:t>每次实验课之前，实验教师和实验员应一同准备实验。首次承担实验课的教师和开新实验的教师，应试讲、试做，经考核合格后，方可指导实验课。实验教师要根据实验课程表按时到指定的实验室上课，不得随意调停课，不得缺课。实验教学中心负责实验教学秩序的监督、检查、纠正。</w:t>
      </w:r>
    </w:p>
    <w:p>
      <w:pPr>
        <w:bidi w:val="0"/>
        <w:ind w:firstLine="420" w:firstLineChars="200"/>
      </w:pPr>
      <w:r>
        <w:t>五、实验教学过程管理</w:t>
      </w:r>
    </w:p>
    <w:p>
      <w:pPr>
        <w:bidi w:val="0"/>
        <w:ind w:firstLine="420" w:firstLineChars="200"/>
      </w:pPr>
      <w:r>
        <w:t>学生应遵守学习纪律，不迟到早退。教师应进行课堂考勤。累计缺课达三分之一以上者，无资格参加实验课考试考核。</w:t>
      </w:r>
    </w:p>
    <w:p>
      <w:pPr>
        <w:bidi w:val="0"/>
        <w:ind w:firstLine="420" w:firstLineChars="200"/>
      </w:pPr>
      <w:r>
        <w:t>学生应认真听课，努力掌握实验技术，做好实验课原始记录。教师应布置实验课作业，学生应按时完成实验报告。</w:t>
      </w:r>
    </w:p>
    <w:p>
      <w:pPr>
        <w:bidi w:val="0"/>
        <w:ind w:firstLine="420" w:firstLineChars="200"/>
      </w:pPr>
      <w:r>
        <w:t>实验课教师要及时、认真批改实验报告。每一份实验报告都应有成绩、批阅日期、教师签名。教师批改的实验报告应及时发给学生，让学生了解自己对实验技术的掌握情况。实验课全部实验报告应及时收回，装订整理后，送实验教学中心存档。</w:t>
      </w:r>
    </w:p>
    <w:p>
      <w:pPr>
        <w:bidi w:val="0"/>
        <w:ind w:firstLine="420" w:firstLineChars="200"/>
      </w:pPr>
      <w:r>
        <w:t>实验员应及时掌握实验课基本情况</w:t>
      </w:r>
      <w:r>
        <w:rPr>
          <w:rFonts w:hint="eastAsia"/>
          <w:lang w:eastAsia="zh-CN"/>
        </w:rPr>
        <w:t>，督促教师做好安全培训，</w:t>
      </w:r>
      <w:r>
        <w:t>认真做好</w:t>
      </w:r>
      <w:r>
        <w:rPr>
          <w:rFonts w:hint="eastAsia"/>
          <w:lang w:eastAsia="zh-CN"/>
        </w:rPr>
        <w:t>实验日志和</w:t>
      </w:r>
      <w:r>
        <w:t>实验课记录。实验教学中心主任、督导组专家、院领导应进行检查性听课。</w:t>
      </w:r>
    </w:p>
    <w:p>
      <w:pPr>
        <w:bidi w:val="0"/>
        <w:ind w:firstLine="420" w:firstLineChars="200"/>
      </w:pPr>
      <w:r>
        <w:t>实验教师要严格执行实验教学日历，按时开出各个实验，使实验开出率达到百分之百。实验课全部实验结束后，实验教师应组织学生进行实验课考试考核。阅卷结束后，将学生试卷、考试成绩单送实验教学中心存档。</w:t>
      </w:r>
    </w:p>
    <w:p>
      <w:pPr>
        <w:bidi w:val="0"/>
        <w:ind w:firstLine="420" w:firstLineChars="200"/>
      </w:pPr>
      <w:r>
        <w:t>六、实验教学考核</w:t>
      </w:r>
    </w:p>
    <w:p>
      <w:pPr>
        <w:bidi w:val="0"/>
        <w:ind w:firstLine="420" w:firstLineChars="200"/>
      </w:pPr>
      <w:r>
        <w:t>期终或下学期初，在分管院长领导下，由实验教学中心统一组织，实验中心主任、副主任、实验员、督导组专家组成考核工作小组，实验教学中心主任任组长，对实验课教师实验教学情况进行全面考核。考核结果分为优秀、合格、不合格三种。</w:t>
      </w:r>
    </w:p>
    <w:p>
      <w:pPr>
        <w:bidi w:val="0"/>
        <w:ind w:firstLine="420" w:firstLineChars="200"/>
      </w:pPr>
      <w:r>
        <w:t>七、奖罚</w:t>
      </w:r>
    </w:p>
    <w:p>
      <w:pPr>
        <w:bidi w:val="0"/>
        <w:ind w:firstLine="420" w:firstLineChars="200"/>
      </w:pPr>
      <w:r>
        <w:t>考核结果记入教师业务档案，作为年度考核和晋升高一级技术职称的依据之一。考核结果为优秀的，给予表扬和物质奖励，同等条件下优先推荐晋升高一级技术职称；对考核不合格的，提出批评，扣罚奖金，当年无资格晋升高一级技术职称。</w:t>
      </w:r>
    </w:p>
    <w:p>
      <w:pPr>
        <w:bidi w:val="0"/>
        <w:ind w:firstLine="420" w:firstLineChars="200"/>
      </w:pPr>
      <w:r>
        <w:t>八、建立实验教学档案</w:t>
      </w:r>
    </w:p>
    <w:p>
      <w:pPr>
        <w:bidi w:val="0"/>
        <w:ind w:firstLine="420" w:firstLineChars="200"/>
      </w:pPr>
      <w:r>
        <w:t>各本科专业培养方案</w:t>
      </w:r>
      <w:r>
        <w:rPr>
          <w:rFonts w:hint="eastAsia"/>
          <w:lang w:eastAsia="zh-CN"/>
        </w:rPr>
        <w:t>、</w:t>
      </w:r>
      <w:r>
        <w:t>实验大纲、实验教材、实验指导书</w:t>
      </w:r>
      <w:r>
        <w:rPr>
          <w:rFonts w:hint="eastAsia"/>
          <w:lang w:eastAsia="zh-CN"/>
        </w:rPr>
        <w:t>、</w:t>
      </w:r>
      <w:r>
        <w:t>实验教学日历、实验课程表、实验课记录、实验项目卡片</w:t>
      </w:r>
      <w:r>
        <w:rPr>
          <w:rFonts w:hint="eastAsia"/>
          <w:lang w:eastAsia="zh-CN"/>
        </w:rPr>
        <w:t>、</w:t>
      </w:r>
      <w:r>
        <w:t>实验报告、实验试卷、实验课成绩单</w:t>
      </w:r>
      <w:r>
        <w:rPr>
          <w:rFonts w:hint="eastAsia"/>
          <w:lang w:eastAsia="zh-CN"/>
        </w:rPr>
        <w:t>等</w:t>
      </w:r>
      <w:r>
        <w:t>档案分别由实验教师、实验员、实验中心主任负责建立，由实验中心主任统一存档。</w:t>
      </w:r>
    </w:p>
    <w:p>
      <w:pPr>
        <w:bidi w:val="0"/>
        <w:ind w:firstLine="420" w:firstLineChars="200"/>
      </w:pPr>
    </w:p>
    <w:p>
      <w:pPr>
        <w:bidi w:val="0"/>
        <w:ind w:firstLine="420" w:firstLineChars="200"/>
        <w:sectPr>
          <w:pgSz w:w="12240" w:h="15840"/>
          <w:pgMar w:top="1134" w:right="1134" w:bottom="1134" w:left="1418" w:header="720" w:footer="720" w:gutter="0"/>
          <w:cols w:space="720" w:num="1"/>
        </w:sectPr>
      </w:pPr>
    </w:p>
    <w:p>
      <w:pPr>
        <w:jc w:val="center"/>
        <w:rPr>
          <w:rFonts w:hint="eastAsia"/>
          <w:sz w:val="40"/>
          <w:szCs w:val="48"/>
          <w:lang w:eastAsia="zh-CN"/>
        </w:rPr>
      </w:pPr>
      <w:r>
        <w:rPr>
          <w:rFonts w:hint="eastAsia"/>
          <w:sz w:val="40"/>
          <w:szCs w:val="48"/>
          <w:lang w:eastAsia="zh-CN"/>
        </w:rPr>
        <w:t>实验室安全卫生检查记录表</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3473"/>
        <w:gridCol w:w="5535"/>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pPr>
              <w:jc w:val="center"/>
              <w:rPr>
                <w:rFonts w:hint="eastAsia"/>
                <w:sz w:val="28"/>
                <w:szCs w:val="36"/>
                <w:vertAlign w:val="baseline"/>
                <w:lang w:eastAsia="zh-CN"/>
              </w:rPr>
            </w:pPr>
            <w:r>
              <w:rPr>
                <w:rFonts w:hint="eastAsia"/>
                <w:sz w:val="28"/>
                <w:szCs w:val="36"/>
                <w:vertAlign w:val="baseline"/>
                <w:lang w:eastAsia="zh-CN"/>
              </w:rPr>
              <w:t>检查日期</w:t>
            </w:r>
          </w:p>
        </w:tc>
        <w:tc>
          <w:tcPr>
            <w:tcW w:w="1260" w:type="pct"/>
            <w:vAlign w:val="center"/>
          </w:tcPr>
          <w:p>
            <w:pPr>
              <w:jc w:val="center"/>
              <w:rPr>
                <w:rFonts w:hint="eastAsia"/>
                <w:sz w:val="28"/>
                <w:szCs w:val="36"/>
                <w:vertAlign w:val="baseline"/>
                <w:lang w:eastAsia="zh-CN"/>
              </w:rPr>
            </w:pPr>
            <w:r>
              <w:rPr>
                <w:rFonts w:hint="eastAsia"/>
                <w:sz w:val="28"/>
                <w:szCs w:val="36"/>
                <w:vertAlign w:val="baseline"/>
                <w:lang w:eastAsia="zh-CN"/>
              </w:rPr>
              <w:t>检查内容：水电门窗、仪器、药品、环境等安全与卫生</w:t>
            </w:r>
          </w:p>
        </w:tc>
        <w:tc>
          <w:tcPr>
            <w:tcW w:w="2008" w:type="pct"/>
            <w:vAlign w:val="center"/>
          </w:tcPr>
          <w:p>
            <w:pPr>
              <w:jc w:val="center"/>
              <w:rPr>
                <w:rFonts w:hint="eastAsia"/>
                <w:sz w:val="28"/>
                <w:szCs w:val="36"/>
                <w:vertAlign w:val="baseline"/>
                <w:lang w:eastAsia="zh-CN"/>
              </w:rPr>
            </w:pPr>
            <w:r>
              <w:rPr>
                <w:rFonts w:hint="eastAsia"/>
                <w:sz w:val="28"/>
                <w:szCs w:val="36"/>
                <w:vertAlign w:val="baseline"/>
                <w:lang w:eastAsia="zh-CN"/>
              </w:rPr>
              <w:t>存在问题及处置措施</w:t>
            </w:r>
          </w:p>
        </w:tc>
        <w:tc>
          <w:tcPr>
            <w:tcW w:w="1172" w:type="pct"/>
            <w:vAlign w:val="center"/>
          </w:tcPr>
          <w:p>
            <w:pPr>
              <w:jc w:val="center"/>
              <w:rPr>
                <w:rFonts w:hint="eastAsia"/>
                <w:sz w:val="28"/>
                <w:szCs w:val="36"/>
                <w:vertAlign w:val="baseline"/>
                <w:lang w:eastAsia="zh-CN"/>
              </w:rPr>
            </w:pPr>
            <w:r>
              <w:rPr>
                <w:rFonts w:hint="eastAsia"/>
                <w:sz w:val="28"/>
                <w:szCs w:val="36"/>
                <w:vertAlign w:val="baseline"/>
                <w:lang w:eastAsia="zh-CN"/>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58" w:type="pct"/>
            <w:vAlign w:val="center"/>
          </w:tcPr>
          <w:p>
            <w:pPr>
              <w:jc w:val="center"/>
              <w:rPr>
                <w:rFonts w:hint="eastAsia"/>
                <w:sz w:val="28"/>
                <w:szCs w:val="36"/>
                <w:vertAlign w:val="baseline"/>
                <w:lang w:eastAsia="zh-CN"/>
              </w:rPr>
            </w:pPr>
          </w:p>
        </w:tc>
        <w:tc>
          <w:tcPr>
            <w:tcW w:w="1260" w:type="pct"/>
            <w:vAlign w:val="center"/>
          </w:tcPr>
          <w:p>
            <w:pPr>
              <w:jc w:val="center"/>
              <w:rPr>
                <w:rFonts w:hint="eastAsia"/>
                <w:sz w:val="28"/>
                <w:szCs w:val="36"/>
                <w:vertAlign w:val="baseline"/>
                <w:lang w:eastAsia="zh-CN"/>
              </w:rPr>
            </w:pPr>
          </w:p>
        </w:tc>
        <w:tc>
          <w:tcPr>
            <w:tcW w:w="2008" w:type="pct"/>
            <w:vAlign w:val="center"/>
          </w:tcPr>
          <w:p>
            <w:pPr>
              <w:jc w:val="center"/>
              <w:rPr>
                <w:rFonts w:hint="eastAsia"/>
                <w:sz w:val="28"/>
                <w:szCs w:val="36"/>
                <w:vertAlign w:val="baseline"/>
                <w:lang w:eastAsia="zh-CN"/>
              </w:rPr>
            </w:pPr>
          </w:p>
        </w:tc>
        <w:tc>
          <w:tcPr>
            <w:tcW w:w="1172"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58" w:type="pct"/>
            <w:vAlign w:val="center"/>
          </w:tcPr>
          <w:p>
            <w:pPr>
              <w:jc w:val="center"/>
              <w:rPr>
                <w:rFonts w:hint="eastAsia"/>
                <w:sz w:val="28"/>
                <w:szCs w:val="36"/>
                <w:vertAlign w:val="baseline"/>
                <w:lang w:eastAsia="zh-CN"/>
              </w:rPr>
            </w:pPr>
          </w:p>
        </w:tc>
        <w:tc>
          <w:tcPr>
            <w:tcW w:w="1260" w:type="pct"/>
            <w:vAlign w:val="center"/>
          </w:tcPr>
          <w:p>
            <w:pPr>
              <w:jc w:val="center"/>
              <w:rPr>
                <w:rFonts w:hint="eastAsia"/>
                <w:sz w:val="28"/>
                <w:szCs w:val="36"/>
                <w:vertAlign w:val="baseline"/>
                <w:lang w:eastAsia="zh-CN"/>
              </w:rPr>
            </w:pPr>
          </w:p>
        </w:tc>
        <w:tc>
          <w:tcPr>
            <w:tcW w:w="2008" w:type="pct"/>
            <w:vAlign w:val="center"/>
          </w:tcPr>
          <w:p>
            <w:pPr>
              <w:jc w:val="center"/>
              <w:rPr>
                <w:rFonts w:hint="eastAsia"/>
                <w:sz w:val="28"/>
                <w:szCs w:val="36"/>
                <w:vertAlign w:val="baseline"/>
                <w:lang w:eastAsia="zh-CN"/>
              </w:rPr>
            </w:pPr>
          </w:p>
        </w:tc>
        <w:tc>
          <w:tcPr>
            <w:tcW w:w="1172"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58" w:type="pct"/>
            <w:vAlign w:val="center"/>
          </w:tcPr>
          <w:p>
            <w:pPr>
              <w:jc w:val="center"/>
              <w:rPr>
                <w:rFonts w:hint="eastAsia"/>
                <w:sz w:val="28"/>
                <w:szCs w:val="36"/>
                <w:vertAlign w:val="baseline"/>
                <w:lang w:eastAsia="zh-CN"/>
              </w:rPr>
            </w:pPr>
          </w:p>
        </w:tc>
        <w:tc>
          <w:tcPr>
            <w:tcW w:w="1260" w:type="pct"/>
            <w:vAlign w:val="center"/>
          </w:tcPr>
          <w:p>
            <w:pPr>
              <w:jc w:val="center"/>
              <w:rPr>
                <w:rFonts w:hint="eastAsia"/>
                <w:sz w:val="28"/>
                <w:szCs w:val="36"/>
                <w:vertAlign w:val="baseline"/>
                <w:lang w:eastAsia="zh-CN"/>
              </w:rPr>
            </w:pPr>
          </w:p>
        </w:tc>
        <w:tc>
          <w:tcPr>
            <w:tcW w:w="2008" w:type="pct"/>
            <w:vAlign w:val="center"/>
          </w:tcPr>
          <w:p>
            <w:pPr>
              <w:jc w:val="center"/>
              <w:rPr>
                <w:rFonts w:hint="eastAsia"/>
                <w:sz w:val="28"/>
                <w:szCs w:val="36"/>
                <w:vertAlign w:val="baseline"/>
                <w:lang w:eastAsia="zh-CN"/>
              </w:rPr>
            </w:pPr>
          </w:p>
        </w:tc>
        <w:tc>
          <w:tcPr>
            <w:tcW w:w="1172"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58" w:type="pct"/>
            <w:vAlign w:val="center"/>
          </w:tcPr>
          <w:p>
            <w:pPr>
              <w:jc w:val="center"/>
              <w:rPr>
                <w:rFonts w:hint="eastAsia"/>
                <w:sz w:val="28"/>
                <w:szCs w:val="36"/>
                <w:vertAlign w:val="baseline"/>
                <w:lang w:eastAsia="zh-CN"/>
              </w:rPr>
            </w:pPr>
          </w:p>
        </w:tc>
        <w:tc>
          <w:tcPr>
            <w:tcW w:w="1260" w:type="pct"/>
            <w:vAlign w:val="center"/>
          </w:tcPr>
          <w:p>
            <w:pPr>
              <w:jc w:val="center"/>
              <w:rPr>
                <w:rFonts w:hint="eastAsia"/>
                <w:sz w:val="28"/>
                <w:szCs w:val="36"/>
                <w:vertAlign w:val="baseline"/>
                <w:lang w:eastAsia="zh-CN"/>
              </w:rPr>
            </w:pPr>
          </w:p>
        </w:tc>
        <w:tc>
          <w:tcPr>
            <w:tcW w:w="2008" w:type="pct"/>
            <w:vAlign w:val="center"/>
          </w:tcPr>
          <w:p>
            <w:pPr>
              <w:jc w:val="center"/>
              <w:rPr>
                <w:rFonts w:hint="eastAsia"/>
                <w:sz w:val="28"/>
                <w:szCs w:val="36"/>
                <w:vertAlign w:val="baseline"/>
                <w:lang w:eastAsia="zh-CN"/>
              </w:rPr>
            </w:pPr>
          </w:p>
        </w:tc>
        <w:tc>
          <w:tcPr>
            <w:tcW w:w="1172"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58" w:type="pct"/>
            <w:vAlign w:val="center"/>
          </w:tcPr>
          <w:p>
            <w:pPr>
              <w:jc w:val="center"/>
              <w:rPr>
                <w:rFonts w:hint="eastAsia"/>
                <w:sz w:val="28"/>
                <w:szCs w:val="36"/>
                <w:vertAlign w:val="baseline"/>
                <w:lang w:eastAsia="zh-CN"/>
              </w:rPr>
            </w:pPr>
          </w:p>
        </w:tc>
        <w:tc>
          <w:tcPr>
            <w:tcW w:w="1260" w:type="pct"/>
            <w:vAlign w:val="center"/>
          </w:tcPr>
          <w:p>
            <w:pPr>
              <w:jc w:val="center"/>
              <w:rPr>
                <w:rFonts w:hint="eastAsia"/>
                <w:sz w:val="28"/>
                <w:szCs w:val="36"/>
                <w:vertAlign w:val="baseline"/>
                <w:lang w:eastAsia="zh-CN"/>
              </w:rPr>
            </w:pPr>
          </w:p>
        </w:tc>
        <w:tc>
          <w:tcPr>
            <w:tcW w:w="2008" w:type="pct"/>
            <w:vAlign w:val="center"/>
          </w:tcPr>
          <w:p>
            <w:pPr>
              <w:jc w:val="center"/>
              <w:rPr>
                <w:rFonts w:hint="eastAsia"/>
                <w:sz w:val="28"/>
                <w:szCs w:val="36"/>
                <w:vertAlign w:val="baseline"/>
                <w:lang w:eastAsia="zh-CN"/>
              </w:rPr>
            </w:pPr>
          </w:p>
        </w:tc>
        <w:tc>
          <w:tcPr>
            <w:tcW w:w="1172"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58" w:type="pct"/>
            <w:vAlign w:val="center"/>
          </w:tcPr>
          <w:p>
            <w:pPr>
              <w:jc w:val="center"/>
              <w:rPr>
                <w:rFonts w:hint="eastAsia"/>
                <w:sz w:val="28"/>
                <w:szCs w:val="36"/>
                <w:vertAlign w:val="baseline"/>
                <w:lang w:eastAsia="zh-CN"/>
              </w:rPr>
            </w:pPr>
          </w:p>
        </w:tc>
        <w:tc>
          <w:tcPr>
            <w:tcW w:w="1260" w:type="pct"/>
            <w:vAlign w:val="center"/>
          </w:tcPr>
          <w:p>
            <w:pPr>
              <w:jc w:val="center"/>
              <w:rPr>
                <w:rFonts w:hint="eastAsia"/>
                <w:sz w:val="28"/>
                <w:szCs w:val="36"/>
                <w:vertAlign w:val="baseline"/>
                <w:lang w:eastAsia="zh-CN"/>
              </w:rPr>
            </w:pPr>
          </w:p>
        </w:tc>
        <w:tc>
          <w:tcPr>
            <w:tcW w:w="2008" w:type="pct"/>
            <w:vAlign w:val="center"/>
          </w:tcPr>
          <w:p>
            <w:pPr>
              <w:jc w:val="center"/>
              <w:rPr>
                <w:rFonts w:hint="eastAsia"/>
                <w:sz w:val="28"/>
                <w:szCs w:val="36"/>
                <w:vertAlign w:val="baseline"/>
                <w:lang w:eastAsia="zh-CN"/>
              </w:rPr>
            </w:pPr>
          </w:p>
        </w:tc>
        <w:tc>
          <w:tcPr>
            <w:tcW w:w="1172" w:type="pct"/>
            <w:vAlign w:val="center"/>
          </w:tcPr>
          <w:p>
            <w:pPr>
              <w:jc w:val="center"/>
              <w:rPr>
                <w:rFonts w:hint="eastAsia"/>
                <w:sz w:val="28"/>
                <w:szCs w:val="36"/>
                <w:vertAlign w:val="baseline"/>
                <w:lang w:eastAsia="zh-CN"/>
              </w:rPr>
            </w:pPr>
          </w:p>
        </w:tc>
      </w:tr>
    </w:tbl>
    <w:p>
      <w:pPr>
        <w:bidi w:val="0"/>
        <w:ind w:firstLine="420" w:firstLineChars="200"/>
        <w:sectPr>
          <w:pgSz w:w="15840" w:h="12240" w:orient="landscape"/>
          <w:pgMar w:top="1418" w:right="1134" w:bottom="1134" w:left="1134" w:header="720" w:footer="720" w:gutter="0"/>
          <w:cols w:space="720" w:num="1"/>
        </w:sectPr>
      </w:pPr>
      <w:r>
        <w:rPr>
          <w:rFonts w:hint="eastAsia"/>
          <w:lang w:eastAsia="zh-CN"/>
        </w:rPr>
        <w:t>注：实验室负责人检查每日一次；院级检查每月至少一次；校级检查每学期至少一次。</w:t>
      </w:r>
    </w:p>
    <w:p>
      <w:pPr>
        <w:bidi w:val="0"/>
        <w:ind w:firstLine="420" w:firstLineChars="200"/>
      </w:pPr>
    </w:p>
    <w:p>
      <w:pPr>
        <w:bidi w:val="0"/>
        <w:rPr>
          <w:rFonts w:hint="eastAsia"/>
        </w:rPr>
      </w:pPr>
    </w:p>
    <w:p>
      <w:pPr>
        <w:pStyle w:val="4"/>
        <w:bidi w:val="0"/>
        <w:jc w:val="center"/>
      </w:pPr>
      <w:r>
        <w:t>林学实验教学中心仪器设备管理制度</w:t>
      </w:r>
    </w:p>
    <w:p>
      <w:pPr>
        <w:bidi w:val="0"/>
        <w:ind w:firstLine="420" w:firstLineChars="200"/>
      </w:pPr>
      <w:r>
        <w:t>一、管理体制</w:t>
      </w:r>
    </w:p>
    <w:p>
      <w:pPr>
        <w:bidi w:val="0"/>
        <w:ind w:firstLine="420" w:firstLineChars="200"/>
      </w:pPr>
      <w:r>
        <w:t>实行校实验管理科、实验中心、实验室三级管理。学校实验管理科给与宏观指导；实验中心制定管理要求；专职实验技术人员具体负责仪器使用管理。按照功能和学科特点设置实验室，按照实验室功能配置相关仪器。</w:t>
      </w:r>
    </w:p>
    <w:p>
      <w:pPr>
        <w:bidi w:val="0"/>
        <w:ind w:firstLine="420" w:firstLineChars="200"/>
      </w:pPr>
      <w:r>
        <w:rPr>
          <w:rFonts w:hint="eastAsia"/>
          <w:lang w:eastAsia="zh-CN"/>
        </w:rPr>
        <w:t>二</w:t>
      </w:r>
      <w:r>
        <w:t>、仪器设备的购置</w:t>
      </w:r>
    </w:p>
    <w:p>
      <w:pPr>
        <w:bidi w:val="0"/>
        <w:ind w:firstLine="420" w:firstLineChars="200"/>
        <w:rPr>
          <w:rFonts w:hint="eastAsia"/>
        </w:rPr>
      </w:pPr>
      <w:r>
        <w:rPr>
          <w:rFonts w:hint="eastAsia"/>
        </w:rPr>
        <w:t>1、院辖教学</w:t>
      </w:r>
      <w:r>
        <w:rPr>
          <w:rFonts w:hint="eastAsia"/>
          <w:lang w:eastAsia="zh-CN"/>
        </w:rPr>
        <w:t>科研</w:t>
      </w:r>
      <w:r>
        <w:rPr>
          <w:rFonts w:hint="eastAsia"/>
        </w:rPr>
        <w:t>设备购置</w:t>
      </w:r>
    </w:p>
    <w:p>
      <w:pPr>
        <w:bidi w:val="0"/>
        <w:ind w:firstLine="420"/>
        <w:rPr>
          <w:rFonts w:hint="eastAsia"/>
        </w:rPr>
      </w:pPr>
      <w:r>
        <w:rPr>
          <w:rFonts w:hint="eastAsia"/>
        </w:rPr>
        <w:t>购置教学</w:t>
      </w:r>
      <w:r>
        <w:rPr>
          <w:rFonts w:hint="eastAsia"/>
          <w:lang w:eastAsia="zh-CN"/>
        </w:rPr>
        <w:t>科研</w:t>
      </w:r>
      <w:r>
        <w:rPr>
          <w:rFonts w:hint="eastAsia"/>
        </w:rPr>
        <w:t>仪器设备，教师须提交书面购置申请。内容应包括：（1）拟购置设备名称、型号、规格、单价、数量、性能、主要技术指标、生产厂家。（2）拟购置设备用途 ：注明实验课程、实验项目名称或教学实习、SRT项目、课程论文、毕业论文等。</w:t>
      </w:r>
      <w:r>
        <w:rPr>
          <w:rFonts w:hint="eastAsia"/>
          <w:lang w:eastAsia="zh-CN"/>
        </w:rPr>
        <w:t>学院</w:t>
      </w:r>
      <w:r>
        <w:rPr>
          <w:rFonts w:hint="eastAsia"/>
        </w:rPr>
        <w:t>根据中心设备和经费现状，经与有关实验技术人员商讨后，确定是否需要购置，由实验中心负责购置。</w:t>
      </w:r>
      <w:r>
        <w:rPr>
          <w:rFonts w:hint="eastAsia"/>
          <w:lang w:eastAsia="zh-CN"/>
        </w:rPr>
        <w:t>购置前需提前确定放置位置</w:t>
      </w:r>
      <w:r>
        <w:rPr>
          <w:rFonts w:hint="eastAsia"/>
        </w:rPr>
        <w:t>。</w:t>
      </w:r>
    </w:p>
    <w:p>
      <w:pPr>
        <w:bidi w:val="0"/>
        <w:ind w:firstLine="420" w:firstLineChars="200"/>
        <w:rPr>
          <w:rFonts w:hint="eastAsia"/>
        </w:rPr>
      </w:pPr>
      <w:r>
        <w:rPr>
          <w:rFonts w:hint="eastAsia"/>
        </w:rPr>
        <w:t>2、</w:t>
      </w:r>
      <w:r>
        <w:rPr>
          <w:rFonts w:hint="eastAsia"/>
          <w:lang w:eastAsia="zh-CN"/>
        </w:rPr>
        <w:t>学科团队及教师科研项目</w:t>
      </w:r>
      <w:r>
        <w:rPr>
          <w:rFonts w:hint="eastAsia"/>
        </w:rPr>
        <w:t>设备购置</w:t>
      </w:r>
    </w:p>
    <w:p>
      <w:pPr>
        <w:bidi w:val="0"/>
        <w:ind w:firstLine="420" w:firstLineChars="200"/>
        <w:rPr>
          <w:rFonts w:hint="eastAsia"/>
        </w:rPr>
      </w:pPr>
      <w:r>
        <w:rPr>
          <w:rFonts w:hint="eastAsia"/>
        </w:rPr>
        <w:t>由相关学科教师或研究室管理人向</w:t>
      </w:r>
      <w:r>
        <w:rPr>
          <w:rFonts w:hint="eastAsia"/>
          <w:lang w:eastAsia="zh-CN"/>
        </w:rPr>
        <w:t>学院</w:t>
      </w:r>
      <w:r>
        <w:rPr>
          <w:rFonts w:hint="eastAsia"/>
        </w:rPr>
        <w:t>负责人提交购置申请，内容参考院辖教学</w:t>
      </w:r>
      <w:r>
        <w:rPr>
          <w:rFonts w:hint="eastAsia"/>
          <w:lang w:eastAsia="zh-CN"/>
        </w:rPr>
        <w:t>科研</w:t>
      </w:r>
      <w:r>
        <w:rPr>
          <w:rFonts w:hint="eastAsia"/>
        </w:rPr>
        <w:t>设备购置申请。</w:t>
      </w:r>
      <w:r>
        <w:rPr>
          <w:rFonts w:hint="eastAsia"/>
          <w:lang w:eastAsia="zh-CN"/>
        </w:rPr>
        <w:t>学科团队</w:t>
      </w:r>
      <w:r>
        <w:rPr>
          <w:rFonts w:hint="eastAsia"/>
        </w:rPr>
        <w:t>负责人根据研究室设备和经费实际，确定是否需要购置</w:t>
      </w:r>
      <w:r>
        <w:rPr>
          <w:rFonts w:hint="eastAsia"/>
          <w:lang w:eastAsia="zh-CN"/>
        </w:rPr>
        <w:t>，</w:t>
      </w:r>
      <w:r>
        <w:rPr>
          <w:rFonts w:hint="eastAsia"/>
        </w:rPr>
        <w:t>由</w:t>
      </w:r>
      <w:r>
        <w:rPr>
          <w:rFonts w:hint="eastAsia"/>
          <w:lang w:eastAsia="zh-CN"/>
        </w:rPr>
        <w:t>学科团队或</w:t>
      </w:r>
      <w:r>
        <w:rPr>
          <w:rFonts w:hint="eastAsia"/>
        </w:rPr>
        <w:t>项目主持人根据课题研究需要组织购置。</w:t>
      </w:r>
    </w:p>
    <w:p>
      <w:pPr>
        <w:bidi w:val="0"/>
        <w:rPr>
          <w:rFonts w:hint="eastAsia"/>
        </w:rPr>
      </w:pPr>
      <w:r>
        <w:rPr>
          <w:rFonts w:hint="eastAsia"/>
        </w:rPr>
        <w:t>3、精密贵重仪器、大型成套设备、大批同类物资以及基本建设项目，由学校统一招标购置。</w:t>
      </w:r>
    </w:p>
    <w:p>
      <w:pPr>
        <w:bidi w:val="0"/>
        <w:ind w:firstLine="420" w:firstLineChars="200"/>
      </w:pPr>
      <w:r>
        <w:rPr>
          <w:rFonts w:hint="eastAsia"/>
          <w:lang w:eastAsia="zh-CN"/>
        </w:rPr>
        <w:t>三</w:t>
      </w:r>
      <w:r>
        <w:t>、仪器设备验收</w:t>
      </w:r>
    </w:p>
    <w:p>
      <w:pPr>
        <w:bidi w:val="0"/>
        <w:ind w:firstLine="420" w:firstLineChars="200"/>
      </w:pPr>
      <w:r>
        <w:t>由实验中心</w:t>
      </w:r>
      <w:r>
        <w:rPr>
          <w:rFonts w:hint="eastAsia"/>
          <w:lang w:eastAsia="zh-CN"/>
        </w:rPr>
        <w:t>或学科团队或项目主持人</w:t>
      </w:r>
      <w:r>
        <w:t>组织相关人员组成验收小组，对采购仪器进行技术鉴定，以确保购置仪器质量。</w:t>
      </w:r>
    </w:p>
    <w:p>
      <w:pPr>
        <w:bidi w:val="0"/>
        <w:ind w:firstLine="420" w:firstLineChars="200"/>
      </w:pPr>
      <w:r>
        <w:rPr>
          <w:rFonts w:hint="eastAsia"/>
          <w:lang w:eastAsia="zh-CN"/>
        </w:rPr>
        <w:t>四</w:t>
      </w:r>
      <w:r>
        <w:t>、账物管理</w:t>
      </w:r>
    </w:p>
    <w:p>
      <w:pPr>
        <w:bidi w:val="0"/>
        <w:ind w:firstLine="420" w:firstLineChars="200"/>
      </w:pPr>
      <w:r>
        <w:t>凡采购仪器设备均建档入账。新购仪器设备及时办理固定资产登记手续，并将</w:t>
      </w:r>
      <w:r>
        <w:rPr>
          <w:rFonts w:hint="eastAsia"/>
          <w:lang w:eastAsia="zh-CN"/>
        </w:rPr>
        <w:t>仪器</w:t>
      </w:r>
      <w:r>
        <w:t>信息上网。</w:t>
      </w:r>
    </w:p>
    <w:p>
      <w:pPr>
        <w:bidi w:val="0"/>
      </w:pPr>
      <w:r>
        <w:t>账、卡、物相符。</w:t>
      </w:r>
    </w:p>
    <w:p>
      <w:pPr>
        <w:bidi w:val="0"/>
        <w:ind w:firstLine="420" w:firstLineChars="200"/>
      </w:pPr>
      <w:r>
        <w:rPr>
          <w:rFonts w:hint="eastAsia"/>
          <w:lang w:eastAsia="zh-CN"/>
        </w:rPr>
        <w:t>五</w:t>
      </w:r>
      <w:r>
        <w:t>、仪器设备</w:t>
      </w:r>
      <w:r>
        <w:rPr>
          <w:rFonts w:hint="eastAsia"/>
          <w:lang w:eastAsia="zh-CN"/>
        </w:rPr>
        <w:t>使用管理</w:t>
      </w:r>
    </w:p>
    <w:p>
      <w:pPr>
        <w:bidi w:val="0"/>
        <w:ind w:firstLine="420" w:firstLineChars="200"/>
      </w:pPr>
      <w:r>
        <w:rPr>
          <w:rFonts w:hint="eastAsia"/>
          <w:lang w:eastAsia="zh-CN"/>
        </w:rPr>
        <w:t>学院仪器设备清单在学院网页上定期公开，免费下载，共享使用，部分设备可酌情收取使用费。学科团队实验室仪器设备由学科负责管理，本科实验室、科研公共实验室的仪器设备由专职实验人员管理</w:t>
      </w:r>
      <w:r>
        <w:t>。</w:t>
      </w:r>
    </w:p>
    <w:p>
      <w:pPr>
        <w:bidi w:val="0"/>
        <w:ind w:firstLine="420" w:firstLineChars="200"/>
      </w:pPr>
      <w:r>
        <w:t>本科生、研究生、教师</w:t>
      </w:r>
      <w:r>
        <w:rPr>
          <w:rFonts w:hint="eastAsia"/>
          <w:lang w:eastAsia="zh-CN"/>
        </w:rPr>
        <w:t>使用</w:t>
      </w:r>
      <w:r>
        <w:t>仪器设备，要及时登记</w:t>
      </w:r>
      <w:r>
        <w:rPr>
          <w:rFonts w:hint="eastAsia"/>
          <w:lang w:eastAsia="zh-CN"/>
        </w:rPr>
        <w:t>；借用的仪器设备应</w:t>
      </w:r>
      <w:r>
        <w:t>及时归还</w:t>
      </w:r>
      <w:r>
        <w:rPr>
          <w:rFonts w:hint="eastAsia"/>
          <w:lang w:eastAsia="zh-CN"/>
        </w:rPr>
        <w:t>，</w:t>
      </w:r>
      <w:r>
        <w:t>借用期最多不超过30天。确需继续使用，应及时办理续借手续。</w:t>
      </w:r>
    </w:p>
    <w:p>
      <w:pPr>
        <w:bidi w:val="0"/>
        <w:ind w:firstLine="420" w:firstLineChars="200"/>
        <w:rPr>
          <w:rFonts w:hint="eastAsia"/>
        </w:rPr>
      </w:pPr>
      <w:r>
        <w:rPr>
          <w:rFonts w:hint="eastAsia"/>
          <w:lang w:eastAsia="zh-CN"/>
        </w:rPr>
        <w:t>六</w:t>
      </w:r>
      <w:r>
        <w:t>、仪器设备的</w:t>
      </w:r>
      <w:r>
        <w:rPr>
          <w:rFonts w:hint="eastAsia"/>
        </w:rPr>
        <w:t>报废</w:t>
      </w:r>
    </w:p>
    <w:p>
      <w:pPr>
        <w:bidi w:val="0"/>
        <w:ind w:firstLine="420" w:firstLineChars="200"/>
      </w:pPr>
      <w:r>
        <w:t>实验中心主任、实验技术人员、仪器管理人员组成技术鉴定小组，对申请报废仪器进行技术鉴定，填写《仪器设备报废鉴定表》，经学院分管院长批准后、报学校主管部门。</w:t>
      </w:r>
    </w:p>
    <w:p>
      <w:pPr>
        <w:bidi w:val="0"/>
        <w:rPr>
          <w:rFonts w:hint="eastAsia"/>
        </w:rPr>
      </w:pPr>
    </w:p>
    <w:p>
      <w:pPr>
        <w:bidi w:val="0"/>
        <w:rPr>
          <w:rFonts w:hint="eastAsia"/>
        </w:rPr>
      </w:pPr>
    </w:p>
    <w:p>
      <w:pPr>
        <w:bidi w:val="0"/>
        <w:rPr>
          <w:rFonts w:hint="eastAsia"/>
        </w:rPr>
      </w:pPr>
    </w:p>
    <w:p>
      <w:pPr>
        <w:bidi w:val="0"/>
        <w:rPr>
          <w:rFonts w:hint="eastAsia"/>
        </w:rPr>
      </w:pPr>
    </w:p>
    <w:p>
      <w:pPr>
        <w:pStyle w:val="4"/>
        <w:bidi w:val="0"/>
      </w:pPr>
      <w:r>
        <w:t>林学实验教学中心贵重仪器设备管理规则</w:t>
      </w:r>
    </w:p>
    <w:p>
      <w:pPr>
        <w:bidi w:val="0"/>
        <w:jc w:val="center"/>
      </w:pPr>
      <w:r>
        <w:t>第一章 总则</w:t>
      </w:r>
    </w:p>
    <w:p>
      <w:pPr>
        <w:bidi w:val="0"/>
        <w:ind w:firstLine="420" w:firstLineChars="200"/>
      </w:pPr>
      <w:r>
        <w:t>第一条：为加强本实验教学中心贵重仪器设备管理，提高使用效益，根据教育部《高等学校仪器设备管理办法》制定该规则。</w:t>
      </w:r>
    </w:p>
    <w:p>
      <w:pPr>
        <w:bidi w:val="0"/>
        <w:ind w:firstLine="420" w:firstLineChars="200"/>
      </w:pPr>
      <w:r>
        <w:t>第二条：贵重仪器设备为单价</w:t>
      </w:r>
      <w:r>
        <w:rPr>
          <w:rFonts w:hint="eastAsia"/>
          <w:lang w:val="en-US" w:eastAsia="zh-CN"/>
        </w:rPr>
        <w:t>10</w:t>
      </w:r>
      <w:r>
        <w:t>万元以上（含</w:t>
      </w:r>
      <w:r>
        <w:rPr>
          <w:rFonts w:hint="eastAsia"/>
          <w:lang w:val="en-US" w:eastAsia="zh-CN"/>
        </w:rPr>
        <w:t>10</w:t>
      </w:r>
      <w:r>
        <w:t>万）的仪器设备。</w:t>
      </w:r>
    </w:p>
    <w:p>
      <w:pPr>
        <w:bidi w:val="0"/>
        <w:ind w:firstLine="420" w:firstLineChars="200"/>
      </w:pPr>
      <w:r>
        <w:t>第三条：贵重仪器设备实行“专管共用，资源共享”。在完成教学任务的前提下，积极开放使用，以充分发挥其效益。</w:t>
      </w:r>
    </w:p>
    <w:p>
      <w:pPr>
        <w:bidi w:val="0"/>
        <w:jc w:val="center"/>
      </w:pPr>
      <w:r>
        <w:t>第二章 采购</w:t>
      </w:r>
    </w:p>
    <w:p>
      <w:pPr>
        <w:bidi w:val="0"/>
        <w:ind w:firstLine="420" w:firstLineChars="200"/>
      </w:pPr>
      <w:r>
        <w:t>第四条：欲购置贵重仪器设备，须先由所属专业根据学科发展特点和实验室仪器设备现状，向实验教学中心提交书面购置计划（包括仪器设备名称、主要用途、生产厂家、型号规格、单价、台数、购买理由）。</w:t>
      </w:r>
    </w:p>
    <w:p>
      <w:pPr>
        <w:bidi w:val="0"/>
        <w:ind w:firstLine="420" w:firstLineChars="200"/>
      </w:pPr>
      <w:r>
        <w:t>第五条：实验教学中心接到贵重仪器设备购置计划后，应及时向分管实验室工作的副院长汇报，经院实验室建设工作委员会论证通过后，由实验教学中心将仪器购置计划上报学校。</w:t>
      </w:r>
    </w:p>
    <w:p>
      <w:pPr>
        <w:bidi w:val="0"/>
        <w:ind w:firstLine="420" w:firstLineChars="200"/>
      </w:pPr>
      <w:r>
        <w:t>第六条：仪器设备购置申请计划经学校批准后，由实验教学中心招标采购或谈判竟价采购。</w:t>
      </w:r>
    </w:p>
    <w:p>
      <w:pPr>
        <w:bidi w:val="0"/>
        <w:ind w:firstLine="420" w:firstLineChars="200"/>
      </w:pPr>
      <w:r>
        <w:t>第七条：论证内容：一、说明欲购置仪器对学科发展的意义和必要性。二、欲购仪器设备的先进性、实用性和性能价格比合理性。三、使用效益预测（小时/年）。四、校内外不同学科共用方案。</w:t>
      </w:r>
    </w:p>
    <w:p>
      <w:pPr>
        <w:bidi w:val="0"/>
        <w:ind w:firstLine="420" w:firstLineChars="200"/>
      </w:pPr>
      <w:r>
        <w:t>第八条：验收。由分管副院长、实验教学中心主任、专业主任、有关仪器设备管理的技术人员组成验收小组，对新购置仪器进行验收。验收的主要内容：1、按合同和装箱单清点验收。2、检查仪器设备表观有无锈、损伤等。3、严格按合同或说明书对仪器的功能、指标逐项验收，保证可重复性和稳定性。4、验收过程中若发现质量问题，验收小组应在索赔期前30天内，写出书面报告报学校实验管理科，及时办理索赔手续。5、验收结束后，写出详细的验收报告。应包括验收过程中出现的问题，排除故障的措施技术、性能指标的符合情况、、遗留问题及处理意见、保修期限等。同时应附上验收的主要数据、表格等。6、验收合格后一个月内，实验教学中心负责将仪器设备的档案资料存档，并交学校</w:t>
      </w:r>
      <w:r>
        <w:rPr>
          <w:rFonts w:hint="eastAsia"/>
          <w:lang w:eastAsia="zh-CN"/>
        </w:rPr>
        <w:t>资产处</w:t>
      </w:r>
      <w:r>
        <w:t>存档。</w:t>
      </w:r>
    </w:p>
    <w:p>
      <w:pPr>
        <w:bidi w:val="0"/>
        <w:jc w:val="center"/>
      </w:pPr>
      <w:r>
        <w:t>第三章 使用和管理</w:t>
      </w:r>
    </w:p>
    <w:p>
      <w:pPr>
        <w:bidi w:val="0"/>
        <w:ind w:firstLine="420" w:firstLineChars="200"/>
      </w:pPr>
      <w:r>
        <w:t>第九条：配备责任心强，有经验的实验技术人员担任贵重仪器设备的管理员。仪器设备管理人员应掌握仪器设备工作原理，熟练使用仪器设备，充分发挥仪器设备的各种功能。制定并严格执行仪器设备操作规程和管理制度。认真做好使用、维护、维修记录。建立仪器设备档案技术资料和管理档案。</w:t>
      </w:r>
    </w:p>
    <w:p>
      <w:pPr>
        <w:bidi w:val="0"/>
        <w:ind w:firstLine="420" w:firstLineChars="200"/>
      </w:pPr>
      <w:r>
        <w:t xml:space="preserve">第十条：经培训考核合格的人员方能上机操作。对因违反规定造成仪器设备损坏将视情节轻重严肃处理。 </w:t>
      </w:r>
    </w:p>
    <w:p>
      <w:pPr>
        <w:bidi w:val="0"/>
        <w:ind w:firstLine="420" w:firstLineChars="200"/>
      </w:pPr>
      <w:r>
        <w:t xml:space="preserve">第十一条：本实验教学中心贵重仪器设备实行专管共用。在完成实验教学任务的基础上，对校内外开放。 </w:t>
      </w:r>
    </w:p>
    <w:p>
      <w:pPr>
        <w:bidi w:val="0"/>
        <w:ind w:firstLine="420" w:firstLineChars="200"/>
      </w:pPr>
      <w:r>
        <w:t xml:space="preserve">第十二条：贵重仪器设备发生故障时，实验技术管理人员应向实验教学中心汇报，及时组织修复。对于较大事故，其责任人要写出详细的事故报告，交实验教学中心。由实验教学中心组织有关人员分析事故原因，分清责任，提出处理意见并报告学院。 </w:t>
      </w:r>
    </w:p>
    <w:p>
      <w:pPr>
        <w:bidi w:val="0"/>
        <w:ind w:firstLine="420" w:firstLineChars="200"/>
      </w:pPr>
      <w:r>
        <w:t>第十三条：贵重仪器设备不允许自行拆卸或者解体使用。否则将作为责任事故予以追究。</w:t>
      </w:r>
    </w:p>
    <w:p>
      <w:pPr>
        <w:bidi w:val="0"/>
        <w:jc w:val="center"/>
      </w:pPr>
      <w:r>
        <w:t>第四章 考核与奖惩</w:t>
      </w:r>
    </w:p>
    <w:p>
      <w:pPr>
        <w:bidi w:val="0"/>
        <w:ind w:firstLine="420" w:firstLineChars="200"/>
      </w:pPr>
      <w:r>
        <w:t>第十四条：根据《高等学校仪器设备管理办法》和《高等学校贵重仪器设备效益年度评价表》，对仪器设备的使用和管理实行考核制度。其考核范围包括：</w:t>
      </w:r>
    </w:p>
    <w:p>
      <w:pPr>
        <w:bidi w:val="0"/>
        <w:ind w:firstLine="420" w:firstLineChars="200"/>
      </w:pPr>
      <w:r>
        <w:t>有效机时（实际测试时数+前后处理时数）是体现效益的重要指标。应分别教学、科研和社会服务进行统计。</w:t>
      </w:r>
    </w:p>
    <w:p>
      <w:pPr>
        <w:bidi w:val="0"/>
        <w:ind w:firstLine="420" w:firstLineChars="200"/>
      </w:pPr>
      <w:r>
        <w:t>完成的科学研究项目（国家级、省部级、厅市级等）、科研项目获奖情况（国家级、省部级、厅市级等）。</w:t>
      </w:r>
    </w:p>
    <w:p>
      <w:pPr>
        <w:bidi w:val="0"/>
        <w:ind w:firstLine="420" w:firstLineChars="200"/>
      </w:pPr>
      <w:r>
        <w:t>完成的学位论文情况。包括本科生毕业论文、硕士学位论文、博士学位论文和大学生SRT活动论文。</w:t>
      </w:r>
    </w:p>
    <w:p>
      <w:pPr>
        <w:bidi w:val="0"/>
        <w:ind w:firstLine="420" w:firstLineChars="200"/>
      </w:pPr>
      <w:r>
        <w:t>人才培训。通过培训，指导本科生、研究生、教学科研人员掌握仪器设备的工作原理和基本操作方法的情况。各类人员（分别校内外）数量统计。</w:t>
      </w:r>
    </w:p>
    <w:p>
      <w:pPr>
        <w:bidi w:val="0"/>
        <w:ind w:firstLine="420" w:firstLineChars="200"/>
      </w:pPr>
      <w:r>
        <w:t>贵重仪器设备日常管理及维护、维修与运行状态情况。</w:t>
      </w:r>
    </w:p>
    <w:p>
      <w:pPr>
        <w:bidi w:val="0"/>
        <w:ind w:firstLine="420" w:firstLineChars="200"/>
      </w:pPr>
      <w:r>
        <w:t xml:space="preserve">第十五条：考核工作由分管实验教学工作的副院长会同实验教学中心主任主持进行。考核结果向全院公布。 </w:t>
      </w:r>
    </w:p>
    <w:p>
      <w:pPr>
        <w:bidi w:val="0"/>
        <w:ind w:firstLine="420" w:firstLineChars="200"/>
      </w:pPr>
      <w:r>
        <w:t>第十六条：奖惩</w:t>
      </w:r>
    </w:p>
    <w:p>
      <w:pPr>
        <w:bidi w:val="0"/>
        <w:ind w:firstLine="420" w:firstLineChars="200"/>
      </w:pPr>
      <w:r>
        <w:t>对于使用率高、取得的科研成果多、完成的研究项目多、人才培养做得好的仪器设备管理人员，予以表彰和奖励。对于拒绝开放共用，维护、保养差的仪器设备管理人员，给予批评。</w:t>
      </w:r>
    </w:p>
    <w:p>
      <w:pPr>
        <w:bidi w:val="0"/>
        <w:rPr>
          <w:rFonts w:hint="eastAsia"/>
        </w:rPr>
      </w:pPr>
    </w:p>
    <w:p>
      <w:pPr>
        <w:bidi w:val="0"/>
        <w:rPr>
          <w:rFonts w:hint="eastAsia"/>
        </w:rPr>
      </w:pPr>
    </w:p>
    <w:p>
      <w:pPr>
        <w:bidi w:val="0"/>
        <w:rPr>
          <w:rFonts w:hint="eastAsia"/>
        </w:rPr>
        <w:sectPr>
          <w:pgSz w:w="12240" w:h="15840"/>
          <w:pgMar w:top="1134" w:right="1134" w:bottom="1134" w:left="1418" w:header="720" w:footer="720" w:gutter="0"/>
          <w:cols w:space="720" w:num="1"/>
        </w:sectPr>
      </w:pPr>
    </w:p>
    <w:p>
      <w:pPr>
        <w:jc w:val="center"/>
        <w:rPr>
          <w:rFonts w:hint="eastAsia"/>
          <w:sz w:val="32"/>
          <w:szCs w:val="40"/>
          <w:lang w:eastAsia="zh-CN"/>
        </w:rPr>
      </w:pPr>
      <w:r>
        <w:rPr>
          <w:rFonts w:hint="eastAsia"/>
          <w:sz w:val="32"/>
          <w:szCs w:val="40"/>
          <w:lang w:eastAsia="zh-CN"/>
        </w:rPr>
        <w:t>实验室开放及仪器（含特种设备）使用记录、实验室维护检修记录、实验室培训记录表</w:t>
      </w: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541"/>
        <w:gridCol w:w="1579"/>
        <w:gridCol w:w="1621"/>
        <w:gridCol w:w="4523"/>
        <w:gridCol w:w="188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r>
              <w:rPr>
                <w:rFonts w:hint="eastAsia"/>
                <w:sz w:val="28"/>
                <w:szCs w:val="36"/>
                <w:vertAlign w:val="baseline"/>
                <w:lang w:eastAsia="zh-CN"/>
              </w:rPr>
              <w:t>日</w:t>
            </w:r>
            <w:r>
              <w:rPr>
                <w:rFonts w:hint="eastAsia"/>
                <w:sz w:val="28"/>
                <w:szCs w:val="36"/>
                <w:vertAlign w:val="baseline"/>
                <w:lang w:val="en-US" w:eastAsia="zh-CN"/>
              </w:rPr>
              <w:t xml:space="preserve"> </w:t>
            </w:r>
            <w:r>
              <w:rPr>
                <w:rFonts w:hint="eastAsia"/>
                <w:sz w:val="28"/>
                <w:szCs w:val="36"/>
                <w:vertAlign w:val="baseline"/>
                <w:lang w:eastAsia="zh-CN"/>
              </w:rPr>
              <w:t>期</w:t>
            </w:r>
          </w:p>
        </w:tc>
        <w:tc>
          <w:tcPr>
            <w:tcW w:w="559" w:type="pct"/>
            <w:vAlign w:val="center"/>
          </w:tcPr>
          <w:p>
            <w:pPr>
              <w:jc w:val="center"/>
              <w:rPr>
                <w:rFonts w:hint="eastAsia"/>
                <w:sz w:val="28"/>
                <w:szCs w:val="36"/>
                <w:vertAlign w:val="baseline"/>
                <w:lang w:eastAsia="zh-CN"/>
              </w:rPr>
            </w:pPr>
            <w:r>
              <w:rPr>
                <w:rFonts w:hint="eastAsia"/>
                <w:sz w:val="28"/>
                <w:szCs w:val="36"/>
                <w:vertAlign w:val="baseline"/>
                <w:lang w:eastAsia="zh-CN"/>
              </w:rPr>
              <w:t>姓</w:t>
            </w:r>
            <w:r>
              <w:rPr>
                <w:rFonts w:hint="eastAsia"/>
                <w:sz w:val="28"/>
                <w:szCs w:val="36"/>
                <w:vertAlign w:val="baseline"/>
                <w:lang w:val="en-US" w:eastAsia="zh-CN"/>
              </w:rPr>
              <w:t xml:space="preserve">  </w:t>
            </w:r>
            <w:r>
              <w:rPr>
                <w:rFonts w:hint="eastAsia"/>
                <w:sz w:val="28"/>
                <w:szCs w:val="36"/>
                <w:vertAlign w:val="baseline"/>
                <w:lang w:eastAsia="zh-CN"/>
              </w:rPr>
              <w:t>名</w:t>
            </w:r>
          </w:p>
        </w:tc>
        <w:tc>
          <w:tcPr>
            <w:tcW w:w="573" w:type="pct"/>
            <w:vAlign w:val="center"/>
          </w:tcPr>
          <w:p>
            <w:pPr>
              <w:jc w:val="center"/>
              <w:rPr>
                <w:rFonts w:hint="eastAsia"/>
                <w:sz w:val="28"/>
                <w:szCs w:val="36"/>
                <w:vertAlign w:val="baseline"/>
                <w:lang w:eastAsia="zh-CN"/>
              </w:rPr>
            </w:pPr>
            <w:r>
              <w:rPr>
                <w:rFonts w:hint="eastAsia"/>
                <w:sz w:val="28"/>
                <w:szCs w:val="36"/>
                <w:vertAlign w:val="baseline"/>
                <w:lang w:eastAsia="zh-CN"/>
              </w:rPr>
              <w:t>电</w:t>
            </w:r>
            <w:r>
              <w:rPr>
                <w:rFonts w:hint="eastAsia"/>
                <w:sz w:val="28"/>
                <w:szCs w:val="36"/>
                <w:vertAlign w:val="baseline"/>
                <w:lang w:val="en-US" w:eastAsia="zh-CN"/>
              </w:rPr>
              <w:t xml:space="preserve">  </w:t>
            </w:r>
            <w:r>
              <w:rPr>
                <w:rFonts w:hint="eastAsia"/>
                <w:sz w:val="28"/>
                <w:szCs w:val="36"/>
                <w:vertAlign w:val="baseline"/>
                <w:lang w:eastAsia="zh-CN"/>
              </w:rPr>
              <w:t>话</w:t>
            </w:r>
          </w:p>
        </w:tc>
        <w:tc>
          <w:tcPr>
            <w:tcW w:w="588" w:type="pct"/>
            <w:vAlign w:val="center"/>
          </w:tcPr>
          <w:p>
            <w:pPr>
              <w:jc w:val="center"/>
              <w:rPr>
                <w:rFonts w:hint="eastAsia"/>
                <w:sz w:val="28"/>
                <w:szCs w:val="36"/>
                <w:vertAlign w:val="baseline"/>
                <w:lang w:eastAsia="zh-CN"/>
              </w:rPr>
            </w:pPr>
            <w:r>
              <w:rPr>
                <w:rFonts w:hint="eastAsia"/>
                <w:sz w:val="28"/>
                <w:szCs w:val="36"/>
                <w:vertAlign w:val="baseline"/>
                <w:lang w:eastAsia="zh-CN"/>
              </w:rPr>
              <w:t>导</w:t>
            </w:r>
            <w:r>
              <w:rPr>
                <w:rFonts w:hint="eastAsia"/>
                <w:sz w:val="28"/>
                <w:szCs w:val="36"/>
                <w:vertAlign w:val="baseline"/>
                <w:lang w:val="en-US" w:eastAsia="zh-CN"/>
              </w:rPr>
              <w:t xml:space="preserve">  </w:t>
            </w:r>
            <w:r>
              <w:rPr>
                <w:rFonts w:hint="eastAsia"/>
                <w:sz w:val="28"/>
                <w:szCs w:val="36"/>
                <w:vertAlign w:val="baseline"/>
                <w:lang w:eastAsia="zh-CN"/>
              </w:rPr>
              <w:t>师</w:t>
            </w:r>
          </w:p>
        </w:tc>
        <w:tc>
          <w:tcPr>
            <w:tcW w:w="1641" w:type="pct"/>
            <w:vAlign w:val="center"/>
          </w:tcPr>
          <w:p>
            <w:pPr>
              <w:jc w:val="center"/>
              <w:rPr>
                <w:rFonts w:hint="eastAsia"/>
                <w:sz w:val="28"/>
                <w:szCs w:val="36"/>
                <w:vertAlign w:val="baseline"/>
                <w:lang w:eastAsia="zh-CN"/>
              </w:rPr>
            </w:pPr>
            <w:r>
              <w:rPr>
                <w:rFonts w:hint="eastAsia"/>
                <w:sz w:val="28"/>
                <w:szCs w:val="36"/>
                <w:vertAlign w:val="baseline"/>
                <w:lang w:eastAsia="zh-CN"/>
              </w:rPr>
              <w:t>仪器或实验项目、维保与培训内容等</w:t>
            </w:r>
          </w:p>
        </w:tc>
        <w:tc>
          <w:tcPr>
            <w:tcW w:w="682" w:type="pct"/>
            <w:vAlign w:val="center"/>
          </w:tcPr>
          <w:p>
            <w:pPr>
              <w:jc w:val="center"/>
              <w:rPr>
                <w:rFonts w:hint="eastAsia"/>
                <w:sz w:val="28"/>
                <w:szCs w:val="36"/>
                <w:vertAlign w:val="baseline"/>
                <w:lang w:eastAsia="zh-CN"/>
              </w:rPr>
            </w:pPr>
            <w:r>
              <w:rPr>
                <w:rFonts w:hint="eastAsia"/>
                <w:sz w:val="28"/>
                <w:szCs w:val="36"/>
                <w:vertAlign w:val="baseline"/>
                <w:lang w:eastAsia="zh-CN"/>
              </w:rPr>
              <w:t>起止时间</w:t>
            </w:r>
          </w:p>
        </w:tc>
        <w:tc>
          <w:tcPr>
            <w:tcW w:w="599" w:type="pct"/>
            <w:vAlign w:val="center"/>
          </w:tcPr>
          <w:p>
            <w:pPr>
              <w:jc w:val="center"/>
              <w:rPr>
                <w:rFonts w:hint="eastAsia"/>
                <w:sz w:val="28"/>
                <w:szCs w:val="36"/>
                <w:vertAlign w:val="baseline"/>
                <w:lang w:eastAsia="zh-CN"/>
              </w:rPr>
            </w:pPr>
            <w:r>
              <w:rPr>
                <w:rFonts w:hint="eastAsia"/>
                <w:sz w:val="28"/>
                <w:szCs w:val="36"/>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pPr>
              <w:jc w:val="center"/>
              <w:rPr>
                <w:rFonts w:hint="eastAsia"/>
                <w:sz w:val="28"/>
                <w:szCs w:val="36"/>
                <w:vertAlign w:val="baseline"/>
                <w:lang w:eastAsia="zh-CN"/>
              </w:rPr>
            </w:pPr>
          </w:p>
        </w:tc>
        <w:tc>
          <w:tcPr>
            <w:tcW w:w="559" w:type="pct"/>
            <w:vAlign w:val="center"/>
          </w:tcPr>
          <w:p>
            <w:pPr>
              <w:jc w:val="center"/>
              <w:rPr>
                <w:rFonts w:hint="eastAsia"/>
                <w:sz w:val="28"/>
                <w:szCs w:val="36"/>
                <w:vertAlign w:val="baseline"/>
                <w:lang w:eastAsia="zh-CN"/>
              </w:rPr>
            </w:pPr>
          </w:p>
        </w:tc>
        <w:tc>
          <w:tcPr>
            <w:tcW w:w="573" w:type="pct"/>
            <w:vAlign w:val="center"/>
          </w:tcPr>
          <w:p>
            <w:pPr>
              <w:jc w:val="center"/>
              <w:rPr>
                <w:rFonts w:hint="eastAsia"/>
                <w:sz w:val="28"/>
                <w:szCs w:val="36"/>
                <w:vertAlign w:val="baseline"/>
                <w:lang w:eastAsia="zh-CN"/>
              </w:rPr>
            </w:pPr>
          </w:p>
        </w:tc>
        <w:tc>
          <w:tcPr>
            <w:tcW w:w="588" w:type="pct"/>
            <w:vAlign w:val="center"/>
          </w:tcPr>
          <w:p>
            <w:pPr>
              <w:jc w:val="center"/>
              <w:rPr>
                <w:rFonts w:hint="eastAsia"/>
                <w:sz w:val="28"/>
                <w:szCs w:val="36"/>
                <w:vertAlign w:val="baseline"/>
                <w:lang w:eastAsia="zh-CN"/>
              </w:rPr>
            </w:pPr>
          </w:p>
        </w:tc>
        <w:tc>
          <w:tcPr>
            <w:tcW w:w="1641" w:type="pct"/>
            <w:vAlign w:val="center"/>
          </w:tcPr>
          <w:p>
            <w:pPr>
              <w:jc w:val="center"/>
              <w:rPr>
                <w:rFonts w:hint="eastAsia"/>
                <w:sz w:val="28"/>
                <w:szCs w:val="36"/>
                <w:vertAlign w:val="baseline"/>
                <w:lang w:eastAsia="zh-CN"/>
              </w:rPr>
            </w:pPr>
          </w:p>
        </w:tc>
        <w:tc>
          <w:tcPr>
            <w:tcW w:w="682" w:type="pct"/>
            <w:vAlign w:val="center"/>
          </w:tcPr>
          <w:p>
            <w:pPr>
              <w:jc w:val="center"/>
              <w:rPr>
                <w:rFonts w:hint="eastAsia"/>
                <w:sz w:val="28"/>
                <w:szCs w:val="36"/>
                <w:vertAlign w:val="baseline"/>
                <w:lang w:eastAsia="zh-CN"/>
              </w:rPr>
            </w:pPr>
          </w:p>
        </w:tc>
        <w:tc>
          <w:tcPr>
            <w:tcW w:w="599" w:type="pct"/>
            <w:vAlign w:val="center"/>
          </w:tcPr>
          <w:p>
            <w:pPr>
              <w:jc w:val="center"/>
              <w:rPr>
                <w:rFonts w:hint="eastAsia"/>
                <w:sz w:val="28"/>
                <w:szCs w:val="36"/>
                <w:vertAlign w:val="baseline"/>
                <w:lang w:eastAsia="zh-CN"/>
              </w:rPr>
            </w:pPr>
          </w:p>
        </w:tc>
      </w:tr>
    </w:tbl>
    <w:p>
      <w:pPr>
        <w:rPr>
          <w:rFonts w:hint="eastAsia"/>
        </w:rPr>
        <w:sectPr>
          <w:pgSz w:w="15840" w:h="12240" w:orient="landscape"/>
          <w:pgMar w:top="1418" w:right="1134" w:bottom="1134" w:left="1134" w:header="720" w:footer="720" w:gutter="0"/>
          <w:cols w:space="720" w:num="1"/>
        </w:sectPr>
      </w:pPr>
      <w:r>
        <w:rPr>
          <w:rFonts w:hint="eastAsia"/>
          <w:lang w:eastAsia="zh-CN"/>
        </w:rPr>
        <w:t>注：每年至少各一次安全与操作培训、操作演练、应急演练；仪器设备应定期保养维</w:t>
      </w:r>
    </w:p>
    <w:p>
      <w:pPr>
        <w:bidi w:val="0"/>
        <w:rPr>
          <w:rFonts w:hint="eastAsia"/>
        </w:rPr>
      </w:pPr>
    </w:p>
    <w:p>
      <w:pPr>
        <w:pStyle w:val="4"/>
        <w:bidi w:val="0"/>
        <w:rPr>
          <w:rFonts w:hint="eastAsia"/>
        </w:rPr>
      </w:pPr>
      <w:r>
        <w:rPr>
          <w:rFonts w:hint="eastAsia"/>
        </w:rPr>
        <w:t>林学院危险化学品管理办法</w:t>
      </w:r>
    </w:p>
    <w:p>
      <w:pPr>
        <w:bidi w:val="0"/>
        <w:ind w:firstLine="420" w:firstLineChars="200"/>
        <w:rPr>
          <w:rFonts w:hint="eastAsia"/>
        </w:rPr>
      </w:pPr>
      <w:r>
        <w:rPr>
          <w:rFonts w:hint="eastAsia"/>
        </w:rPr>
        <w:t>为保护师生和人民群众生命财产安全</w:t>
      </w:r>
      <w:r>
        <w:rPr>
          <w:rFonts w:hint="eastAsia"/>
          <w:lang w:eastAsia="zh-CN"/>
        </w:rPr>
        <w:t>，</w:t>
      </w:r>
      <w:r>
        <w:rPr>
          <w:rFonts w:hint="eastAsia"/>
        </w:rPr>
        <w:t>维护教学秩序</w:t>
      </w:r>
      <w:r>
        <w:rPr>
          <w:rFonts w:hint="eastAsia"/>
          <w:lang w:eastAsia="zh-CN"/>
        </w:rPr>
        <w:t>，</w:t>
      </w:r>
      <w:r>
        <w:rPr>
          <w:rFonts w:hint="eastAsia"/>
        </w:rPr>
        <w:t>经林学院研究，特制定本办法。</w:t>
      </w:r>
    </w:p>
    <w:p>
      <w:pPr>
        <w:bidi w:val="0"/>
        <w:rPr>
          <w:rFonts w:hint="eastAsia"/>
        </w:rPr>
      </w:pPr>
      <w:r>
        <w:rPr>
          <w:rFonts w:hint="eastAsia"/>
        </w:rPr>
        <w:t xml:space="preserve">    危险化学品指易燃、易爆、有毒、强腐蚀性化学物品。</w:t>
      </w:r>
    </w:p>
    <w:p>
      <w:pPr>
        <w:bidi w:val="0"/>
        <w:ind w:firstLine="420" w:firstLineChars="200"/>
        <w:rPr>
          <w:rFonts w:hint="eastAsia" w:eastAsiaTheme="minorEastAsia"/>
          <w:lang w:eastAsia="zh-CN"/>
        </w:rPr>
      </w:pPr>
      <w:r>
        <w:rPr>
          <w:rFonts w:hint="eastAsia"/>
        </w:rPr>
        <w:t>1、实验课和实验室开放使用的危险化学品</w:t>
      </w:r>
      <w:r>
        <w:rPr>
          <w:rFonts w:hint="eastAsia"/>
          <w:lang w:eastAsia="zh-CN"/>
        </w:rPr>
        <w:t>，</w:t>
      </w:r>
      <w:r>
        <w:rPr>
          <w:rFonts w:hint="eastAsia"/>
        </w:rPr>
        <w:t>由实验教学中心统一采购。</w:t>
      </w:r>
      <w:r>
        <w:rPr>
          <w:rFonts w:hint="eastAsia"/>
          <w:lang w:eastAsia="zh-CN"/>
        </w:rPr>
        <w:t>科研实验室使用的，由学科团队和项目负责人采购。必须通过</w:t>
      </w:r>
      <w:r>
        <w:rPr>
          <w:rFonts w:hint="eastAsia"/>
        </w:rPr>
        <w:t>正规渠道采购，</w:t>
      </w:r>
      <w:r>
        <w:rPr>
          <w:rFonts w:hint="eastAsia"/>
          <w:lang w:eastAsia="zh-CN"/>
        </w:rPr>
        <w:t>每学期集中采购一次，</w:t>
      </w:r>
      <w:r>
        <w:rPr>
          <w:rFonts w:hint="eastAsia"/>
        </w:rPr>
        <w:t>申购数量为半年</w:t>
      </w:r>
      <w:r>
        <w:rPr>
          <w:rFonts w:hint="eastAsia"/>
          <w:lang w:eastAsia="zh-CN"/>
        </w:rPr>
        <w:t>用量；须</w:t>
      </w:r>
      <w:r>
        <w:rPr>
          <w:rFonts w:hint="eastAsia"/>
        </w:rPr>
        <w:t>建立采购、使用、库存台账，台账至少保存3年</w:t>
      </w:r>
      <w:r>
        <w:rPr>
          <w:rFonts w:hint="eastAsia"/>
          <w:lang w:eastAsia="zh-CN"/>
        </w:rPr>
        <w:t>。</w:t>
      </w:r>
    </w:p>
    <w:p>
      <w:pPr>
        <w:bidi w:val="0"/>
        <w:ind w:firstLine="420" w:firstLineChars="200"/>
        <w:rPr>
          <w:rFonts w:hint="eastAsia"/>
        </w:rPr>
      </w:pPr>
      <w:r>
        <w:rPr>
          <w:rFonts w:hint="eastAsia"/>
        </w:rPr>
        <w:t>2、建立采购登记制度。注明名称、数量、时间、存放地点、保管人。</w:t>
      </w:r>
    </w:p>
    <w:p>
      <w:pPr>
        <w:bidi w:val="0"/>
        <w:ind w:firstLine="420" w:firstLineChars="200"/>
        <w:rPr>
          <w:rFonts w:hint="eastAsia"/>
        </w:rPr>
      </w:pPr>
      <w:r>
        <w:rPr>
          <w:rFonts w:hint="eastAsia"/>
        </w:rPr>
        <w:t>3、危险化学品分类存放于化学药品室专用柜中。实验室要指定专人保管易制毒</w:t>
      </w:r>
      <w:r>
        <w:rPr>
          <w:rFonts w:hint="eastAsia"/>
          <w:lang w:eastAsia="zh-CN"/>
        </w:rPr>
        <w:t>、危险、剧毒</w:t>
      </w:r>
      <w:r>
        <w:rPr>
          <w:rFonts w:hint="eastAsia"/>
        </w:rPr>
        <w:t>化学品，</w:t>
      </w:r>
      <w:r>
        <w:rPr>
          <w:rFonts w:hint="eastAsia"/>
          <w:lang w:val="en-US" w:eastAsia="zh-CN"/>
        </w:rPr>
        <w:t>双人双锁双人保管，</w:t>
      </w:r>
      <w:r>
        <w:rPr>
          <w:rFonts w:hint="eastAsia"/>
        </w:rPr>
        <w:t>当日不用的归橱上锁，确保存放、使用安全</w:t>
      </w:r>
      <w:r>
        <w:rPr>
          <w:rFonts w:hint="eastAsia"/>
          <w:lang w:eastAsia="zh-CN"/>
        </w:rPr>
        <w:t>。</w:t>
      </w:r>
    </w:p>
    <w:p>
      <w:pPr>
        <w:bidi w:val="0"/>
        <w:ind w:firstLine="420" w:firstLineChars="200"/>
        <w:rPr>
          <w:rFonts w:hint="eastAsia"/>
        </w:rPr>
      </w:pPr>
      <w:r>
        <w:rPr>
          <w:rFonts w:hint="eastAsia"/>
        </w:rPr>
        <w:t>4、建立危险化学品使用登记制度。注明实验名称、专业班级、人数、化学品名称、数量、任课教师、领用人、时间。</w:t>
      </w:r>
    </w:p>
    <w:p>
      <w:pPr>
        <w:bidi w:val="0"/>
        <w:ind w:firstLine="420" w:firstLineChars="200"/>
        <w:rPr>
          <w:rFonts w:hint="eastAsia"/>
        </w:rPr>
      </w:pPr>
      <w:r>
        <w:rPr>
          <w:rFonts w:hint="eastAsia"/>
        </w:rPr>
        <w:t>5、大学生、研究生进入开放实验室使用危险化学品</w:t>
      </w:r>
      <w:r>
        <w:rPr>
          <w:rFonts w:hint="eastAsia"/>
          <w:lang w:eastAsia="zh-CN"/>
        </w:rPr>
        <w:t>，</w:t>
      </w:r>
      <w:r>
        <w:rPr>
          <w:rFonts w:hint="eastAsia"/>
        </w:rPr>
        <w:t>必须事先递交经指导教师同意和签字的书面申请</w:t>
      </w:r>
      <w:r>
        <w:rPr>
          <w:rFonts w:hint="eastAsia"/>
          <w:lang w:eastAsia="zh-CN"/>
        </w:rPr>
        <w:t>（</w:t>
      </w:r>
      <w:r>
        <w:rPr>
          <w:rFonts w:hint="eastAsia"/>
        </w:rPr>
        <w:t>说明实验项目、危险化学品名称、数量、时间、使用人</w:t>
      </w:r>
      <w:r>
        <w:rPr>
          <w:rFonts w:hint="eastAsia"/>
          <w:lang w:eastAsia="zh-CN"/>
        </w:rPr>
        <w:t>），</w:t>
      </w:r>
      <w:r>
        <w:rPr>
          <w:rFonts w:hint="eastAsia"/>
        </w:rPr>
        <w:t>报实验教学中心主任</w:t>
      </w:r>
      <w:r>
        <w:rPr>
          <w:rFonts w:hint="eastAsia"/>
          <w:lang w:eastAsia="zh-CN"/>
        </w:rPr>
        <w:t>或分管副院长</w:t>
      </w:r>
      <w:r>
        <w:rPr>
          <w:rFonts w:hint="eastAsia"/>
        </w:rPr>
        <w:t>审核批准，并详细登记。</w:t>
      </w:r>
    </w:p>
    <w:p>
      <w:pPr>
        <w:bidi w:val="0"/>
        <w:ind w:firstLine="420" w:firstLineChars="200"/>
        <w:rPr>
          <w:rFonts w:hint="eastAsia"/>
        </w:rPr>
      </w:pPr>
      <w:r>
        <w:rPr>
          <w:rFonts w:hint="eastAsia"/>
        </w:rPr>
        <w:t>6、保管员应严格按登记的数量付给危险化学品。实验剩余的危险化学品</w:t>
      </w:r>
      <w:r>
        <w:rPr>
          <w:rFonts w:hint="eastAsia"/>
          <w:lang w:eastAsia="zh-CN"/>
        </w:rPr>
        <w:t>，</w:t>
      </w:r>
      <w:r>
        <w:rPr>
          <w:rFonts w:hint="eastAsia"/>
        </w:rPr>
        <w:t>必须送交保管员</w:t>
      </w:r>
      <w:r>
        <w:rPr>
          <w:rFonts w:hint="eastAsia"/>
          <w:lang w:eastAsia="zh-CN"/>
        </w:rPr>
        <w:t>，</w:t>
      </w:r>
      <w:r>
        <w:rPr>
          <w:rFonts w:hint="eastAsia"/>
        </w:rPr>
        <w:t>保管员应及时将其入柜。</w:t>
      </w:r>
    </w:p>
    <w:p>
      <w:pPr>
        <w:bidi w:val="0"/>
        <w:ind w:firstLine="420" w:firstLineChars="200"/>
        <w:rPr>
          <w:rFonts w:hint="eastAsia"/>
        </w:rPr>
      </w:pPr>
      <w:r>
        <w:rPr>
          <w:rFonts w:hint="eastAsia"/>
        </w:rPr>
        <w:t>7、不允许私自携带危险化学品进入实验室。不允许将危险化学品带出实验室。</w:t>
      </w:r>
    </w:p>
    <w:p>
      <w:pPr>
        <w:bidi w:val="0"/>
        <w:ind w:firstLine="420" w:firstLineChars="200"/>
        <w:rPr>
          <w:rFonts w:hint="eastAsia"/>
        </w:rPr>
      </w:pPr>
      <w:r>
        <w:rPr>
          <w:rFonts w:hint="eastAsia"/>
        </w:rPr>
        <w:t>8、</w:t>
      </w:r>
      <w:r>
        <w:rPr>
          <w:rFonts w:hint="eastAsia"/>
          <w:lang w:eastAsia="zh-CN"/>
        </w:rPr>
        <w:t>各实验室负责人</w:t>
      </w:r>
      <w:r>
        <w:rPr>
          <w:rFonts w:hint="eastAsia"/>
        </w:rPr>
        <w:t>应高度重视危险化学品管理</w:t>
      </w:r>
      <w:r>
        <w:rPr>
          <w:rFonts w:hint="eastAsia"/>
          <w:lang w:eastAsia="zh-CN"/>
        </w:rPr>
        <w:t>，</w:t>
      </w:r>
      <w:r>
        <w:rPr>
          <w:rFonts w:hint="eastAsia"/>
        </w:rPr>
        <w:t>对各个环节严格管理</w:t>
      </w:r>
      <w:r>
        <w:rPr>
          <w:rFonts w:hint="eastAsia"/>
          <w:lang w:eastAsia="zh-CN"/>
        </w:rPr>
        <w:t>，</w:t>
      </w:r>
      <w:r>
        <w:rPr>
          <w:rFonts w:hint="eastAsia"/>
        </w:rPr>
        <w:t>做到细致、周密。保管员要高度负责，努力管好危险化学品。</w:t>
      </w:r>
    </w:p>
    <w:p>
      <w:pPr>
        <w:bidi w:val="0"/>
      </w:pPr>
    </w:p>
    <w:p>
      <w:pPr>
        <w:spacing w:line="300" w:lineRule="auto"/>
        <w:jc w:val="center"/>
        <w:rPr>
          <w:rFonts w:hint="eastAsia" w:ascii="黑体" w:hAnsi="宋体" w:eastAsia="黑体" w:cs="宋体"/>
          <w:b/>
          <w:color w:val="000000"/>
          <w:sz w:val="36"/>
          <w:szCs w:val="36"/>
        </w:rPr>
      </w:pPr>
    </w:p>
    <w:p>
      <w:pPr>
        <w:spacing w:line="300" w:lineRule="auto"/>
        <w:jc w:val="center"/>
        <w:rPr>
          <w:rFonts w:hint="eastAsia" w:ascii="黑体" w:hAnsi="宋体" w:eastAsia="黑体" w:cs="宋体"/>
          <w:b/>
          <w:color w:val="000000"/>
          <w:sz w:val="36"/>
          <w:szCs w:val="36"/>
        </w:rPr>
      </w:pPr>
    </w:p>
    <w:p>
      <w:pPr>
        <w:spacing w:line="300" w:lineRule="auto"/>
        <w:jc w:val="center"/>
        <w:rPr>
          <w:rFonts w:hint="eastAsia" w:ascii="黑体" w:hAnsi="宋体" w:eastAsia="黑体" w:cs="宋体"/>
          <w:b/>
          <w:color w:val="000000"/>
          <w:sz w:val="36"/>
          <w:szCs w:val="36"/>
        </w:rPr>
      </w:pPr>
    </w:p>
    <w:p>
      <w:pPr>
        <w:spacing w:line="300" w:lineRule="auto"/>
        <w:jc w:val="center"/>
        <w:rPr>
          <w:rFonts w:hint="eastAsia" w:ascii="仿宋_GB2312" w:eastAsia="仿宋_GB2312"/>
          <w:sz w:val="28"/>
          <w:szCs w:val="28"/>
        </w:rPr>
      </w:pPr>
      <w:r>
        <w:rPr>
          <w:rFonts w:hint="eastAsia" w:ascii="黑体" w:hAnsi="宋体" w:eastAsia="黑体" w:cs="宋体"/>
          <w:b/>
          <w:color w:val="000000"/>
          <w:sz w:val="36"/>
          <w:szCs w:val="36"/>
        </w:rPr>
        <w:t>易制毒化学品分类和品种目录</w:t>
      </w:r>
    </w:p>
    <w:p>
      <w:pPr>
        <w:spacing w:line="300" w:lineRule="auto"/>
        <w:rPr>
          <w:rFonts w:hint="eastAsia" w:ascii="宋体" w:hAnsi="宋体" w:cs="宋体"/>
          <w:color w:val="000000"/>
          <w:szCs w:val="21"/>
        </w:rPr>
      </w:pPr>
      <w:r>
        <w:rPr>
          <w:rFonts w:hint="eastAsia" w:ascii="黑体" w:hAnsi="宋体" w:eastAsia="黑体" w:cs="宋体"/>
          <w:b/>
          <w:color w:val="000000"/>
          <w:szCs w:val="21"/>
        </w:rPr>
        <w:t>第一类</w:t>
      </w:r>
      <w:r>
        <w:rPr>
          <w:rFonts w:hint="eastAsia" w:ascii="宋体" w:hAnsi="宋体" w:cs="宋体"/>
          <w:b/>
          <w:color w:val="000000"/>
          <w:szCs w:val="21"/>
        </w:rPr>
        <w:br w:type="textWrapping"/>
      </w:r>
      <w:r>
        <w:rPr>
          <w:rFonts w:hint="eastAsia" w:ascii="宋体" w:hAnsi="宋体" w:cs="宋体"/>
          <w:color w:val="000000"/>
          <w:szCs w:val="21"/>
        </w:rPr>
        <w:t>　　1．1－苯基－2－丙酮</w:t>
      </w:r>
      <w:r>
        <w:rPr>
          <w:rFonts w:hint="eastAsia" w:ascii="宋体" w:hAnsi="宋体" w:cs="宋体"/>
          <w:color w:val="000000"/>
          <w:szCs w:val="21"/>
        </w:rPr>
        <w:br w:type="textWrapping"/>
      </w:r>
      <w:r>
        <w:rPr>
          <w:rFonts w:hint="eastAsia" w:ascii="宋体" w:hAnsi="宋体" w:cs="宋体"/>
          <w:color w:val="000000"/>
          <w:szCs w:val="21"/>
        </w:rPr>
        <w:t>　　2．３，4－亚甲基二氧苯基－2－丙酮</w:t>
      </w:r>
      <w:r>
        <w:rPr>
          <w:rFonts w:hint="eastAsia" w:ascii="宋体" w:hAnsi="宋体" w:cs="宋体"/>
          <w:color w:val="000000"/>
          <w:szCs w:val="21"/>
        </w:rPr>
        <w:br w:type="textWrapping"/>
      </w:r>
      <w:r>
        <w:rPr>
          <w:rFonts w:hint="eastAsia" w:ascii="宋体" w:hAnsi="宋体" w:cs="宋体"/>
          <w:color w:val="000000"/>
          <w:szCs w:val="21"/>
        </w:rPr>
        <w:t>　　3．胡椒醛</w:t>
      </w:r>
      <w:r>
        <w:rPr>
          <w:rFonts w:hint="eastAsia" w:ascii="宋体" w:hAnsi="宋体" w:cs="宋体"/>
          <w:color w:val="000000"/>
          <w:szCs w:val="21"/>
        </w:rPr>
        <w:br w:type="textWrapping"/>
      </w:r>
      <w:r>
        <w:rPr>
          <w:rFonts w:hint="eastAsia" w:ascii="宋体" w:hAnsi="宋体" w:cs="宋体"/>
          <w:color w:val="000000"/>
          <w:szCs w:val="21"/>
        </w:rPr>
        <w:t>　　4．黄樟素</w:t>
      </w:r>
      <w:r>
        <w:rPr>
          <w:rFonts w:hint="eastAsia" w:ascii="宋体" w:hAnsi="宋体" w:cs="宋体"/>
          <w:color w:val="000000"/>
          <w:szCs w:val="21"/>
        </w:rPr>
        <w:br w:type="textWrapping"/>
      </w:r>
      <w:r>
        <w:rPr>
          <w:rFonts w:hint="eastAsia" w:ascii="宋体" w:hAnsi="宋体" w:cs="宋体"/>
          <w:color w:val="000000"/>
          <w:szCs w:val="21"/>
        </w:rPr>
        <w:t>　　5．黄樟油</w:t>
      </w:r>
      <w:r>
        <w:rPr>
          <w:rFonts w:hint="eastAsia" w:ascii="宋体" w:hAnsi="宋体" w:cs="宋体"/>
          <w:color w:val="000000"/>
          <w:szCs w:val="21"/>
        </w:rPr>
        <w:br w:type="textWrapping"/>
      </w:r>
      <w:r>
        <w:rPr>
          <w:rFonts w:hint="eastAsia" w:ascii="宋体" w:hAnsi="宋体" w:cs="宋体"/>
          <w:color w:val="000000"/>
          <w:szCs w:val="21"/>
        </w:rPr>
        <w:t>　　6．异黄樟素</w:t>
      </w:r>
      <w:r>
        <w:rPr>
          <w:rFonts w:hint="eastAsia" w:ascii="宋体" w:hAnsi="宋体" w:cs="宋体"/>
          <w:color w:val="000000"/>
          <w:szCs w:val="21"/>
        </w:rPr>
        <w:br w:type="textWrapping"/>
      </w:r>
      <w:r>
        <w:rPr>
          <w:rFonts w:hint="eastAsia" w:ascii="宋体" w:hAnsi="宋体" w:cs="宋体"/>
          <w:color w:val="000000"/>
          <w:szCs w:val="21"/>
        </w:rPr>
        <w:t>　　7. N－乙酰邻氨基苯酸</w:t>
      </w:r>
      <w:r>
        <w:rPr>
          <w:rFonts w:hint="eastAsia" w:ascii="宋体" w:hAnsi="宋体" w:cs="宋体"/>
          <w:color w:val="000000"/>
          <w:szCs w:val="21"/>
        </w:rPr>
        <w:br w:type="textWrapping"/>
      </w:r>
      <w:r>
        <w:rPr>
          <w:rFonts w:hint="eastAsia" w:ascii="宋体" w:hAnsi="宋体" w:cs="宋体"/>
          <w:color w:val="000000"/>
          <w:szCs w:val="21"/>
        </w:rPr>
        <w:t>　　8．邻氨基苯甲酸</w:t>
      </w:r>
      <w:r>
        <w:rPr>
          <w:rFonts w:hint="eastAsia" w:ascii="宋体" w:hAnsi="宋体" w:cs="宋体"/>
          <w:color w:val="000000"/>
          <w:szCs w:val="21"/>
        </w:rPr>
        <w:br w:type="textWrapping"/>
      </w:r>
      <w:r>
        <w:rPr>
          <w:rFonts w:hint="eastAsia" w:ascii="宋体" w:hAnsi="宋体" w:cs="宋体"/>
          <w:color w:val="000000"/>
          <w:szCs w:val="21"/>
        </w:rPr>
        <w:t>　　9．麦角酸＊</w:t>
      </w:r>
      <w:r>
        <w:rPr>
          <w:rFonts w:hint="eastAsia" w:ascii="宋体" w:hAnsi="宋体" w:cs="宋体"/>
          <w:color w:val="000000"/>
          <w:szCs w:val="21"/>
        </w:rPr>
        <w:br w:type="textWrapping"/>
      </w:r>
      <w:r>
        <w:rPr>
          <w:rFonts w:hint="eastAsia" w:ascii="宋体" w:hAnsi="宋体" w:cs="宋体"/>
          <w:color w:val="000000"/>
          <w:szCs w:val="21"/>
        </w:rPr>
        <w:t>　　10．麦角胺＊</w:t>
      </w:r>
      <w:r>
        <w:rPr>
          <w:rFonts w:hint="eastAsia" w:ascii="宋体" w:hAnsi="宋体" w:cs="宋体"/>
          <w:color w:val="000000"/>
          <w:szCs w:val="21"/>
        </w:rPr>
        <w:br w:type="textWrapping"/>
      </w:r>
      <w:r>
        <w:rPr>
          <w:rFonts w:hint="eastAsia" w:ascii="宋体" w:hAnsi="宋体" w:cs="宋体"/>
          <w:color w:val="000000"/>
          <w:szCs w:val="21"/>
        </w:rPr>
        <w:t>　　11．麦角新碱＊</w:t>
      </w:r>
      <w:r>
        <w:rPr>
          <w:rFonts w:hint="eastAsia" w:ascii="宋体" w:hAnsi="宋体" w:cs="宋体"/>
          <w:color w:val="000000"/>
          <w:szCs w:val="21"/>
        </w:rPr>
        <w:br w:type="textWrapping"/>
      </w:r>
      <w:r>
        <w:rPr>
          <w:rFonts w:hint="eastAsia" w:ascii="宋体" w:hAnsi="宋体" w:cs="宋体"/>
          <w:color w:val="000000"/>
          <w:szCs w:val="21"/>
        </w:rPr>
        <w:t>　　12．麻黄素、伪麻黄素、消旋麻黄素、去甲麻黄素、甲基麻黄素、麻黄浸膏、麻黄浸膏粉等麻黄素类物质＊</w:t>
      </w:r>
      <w:r>
        <w:rPr>
          <w:rFonts w:hint="eastAsia" w:ascii="宋体" w:hAnsi="宋体" w:cs="宋体"/>
          <w:color w:val="000000"/>
          <w:szCs w:val="21"/>
        </w:rPr>
        <w:br w:type="textWrapping"/>
      </w:r>
      <w:r>
        <w:rPr>
          <w:rFonts w:hint="eastAsia" w:ascii="黑体" w:hAnsi="宋体" w:eastAsia="黑体" w:cs="宋体"/>
          <w:b/>
          <w:color w:val="000000"/>
          <w:szCs w:val="21"/>
        </w:rPr>
        <w:t>第二类</w:t>
      </w:r>
      <w:r>
        <w:rPr>
          <w:rFonts w:hint="eastAsia" w:ascii="宋体" w:hAnsi="宋体" w:cs="宋体"/>
          <w:b/>
          <w:color w:val="000000"/>
          <w:szCs w:val="21"/>
        </w:rPr>
        <w:br w:type="textWrapping"/>
      </w:r>
      <w:r>
        <w:rPr>
          <w:rFonts w:hint="eastAsia" w:ascii="宋体" w:hAnsi="宋体" w:cs="宋体"/>
          <w:color w:val="000000"/>
          <w:szCs w:val="21"/>
        </w:rPr>
        <w:t>　　1．苯乙酸</w:t>
      </w:r>
      <w:r>
        <w:rPr>
          <w:rFonts w:hint="eastAsia" w:ascii="宋体" w:hAnsi="宋体" w:cs="宋体"/>
          <w:color w:val="000000"/>
          <w:szCs w:val="21"/>
        </w:rPr>
        <w:br w:type="textWrapping"/>
      </w:r>
      <w:r>
        <w:rPr>
          <w:rFonts w:hint="eastAsia" w:ascii="宋体" w:hAnsi="宋体" w:cs="宋体"/>
          <w:color w:val="000000"/>
          <w:szCs w:val="21"/>
        </w:rPr>
        <w:t>　　2．醋酸酐</w:t>
      </w:r>
      <w:r>
        <w:rPr>
          <w:rFonts w:hint="eastAsia" w:ascii="宋体" w:hAnsi="宋体" w:cs="宋体"/>
          <w:color w:val="000000"/>
          <w:szCs w:val="21"/>
        </w:rPr>
        <w:br w:type="textWrapping"/>
      </w:r>
      <w:r>
        <w:rPr>
          <w:rFonts w:hint="eastAsia" w:ascii="宋体" w:hAnsi="宋体" w:cs="宋体"/>
          <w:color w:val="000000"/>
          <w:szCs w:val="21"/>
        </w:rPr>
        <w:t>　　3．三氯甲烷</w:t>
      </w:r>
      <w:r>
        <w:rPr>
          <w:rFonts w:hint="eastAsia" w:ascii="宋体" w:hAnsi="宋体" w:cs="宋体"/>
          <w:color w:val="000000"/>
          <w:szCs w:val="21"/>
        </w:rPr>
        <w:br w:type="textWrapping"/>
      </w:r>
      <w:r>
        <w:rPr>
          <w:rFonts w:hint="eastAsia" w:ascii="宋体" w:hAnsi="宋体" w:cs="宋体"/>
          <w:color w:val="000000"/>
          <w:szCs w:val="21"/>
        </w:rPr>
        <w:t>　　4．乙醚</w:t>
      </w:r>
      <w:r>
        <w:rPr>
          <w:rFonts w:hint="eastAsia" w:ascii="宋体" w:hAnsi="宋体" w:cs="宋体"/>
          <w:color w:val="000000"/>
          <w:szCs w:val="21"/>
        </w:rPr>
        <w:br w:type="textWrapping"/>
      </w:r>
      <w:r>
        <w:rPr>
          <w:rFonts w:hint="eastAsia" w:ascii="宋体" w:hAnsi="宋体" w:cs="宋体"/>
          <w:color w:val="000000"/>
          <w:szCs w:val="21"/>
        </w:rPr>
        <w:t>　　5．哌啶</w:t>
      </w:r>
      <w:r>
        <w:rPr>
          <w:rFonts w:hint="eastAsia" w:ascii="宋体" w:hAnsi="宋体" w:cs="宋体"/>
          <w:color w:val="000000"/>
          <w:szCs w:val="21"/>
        </w:rPr>
        <w:br w:type="textWrapping"/>
      </w:r>
      <w:r>
        <w:rPr>
          <w:rFonts w:hint="eastAsia" w:ascii="黑体" w:hAnsi="宋体" w:eastAsia="黑体" w:cs="宋体"/>
          <w:b/>
          <w:color w:val="000000"/>
          <w:szCs w:val="21"/>
        </w:rPr>
        <w:t>第三类</w:t>
      </w:r>
      <w:r>
        <w:rPr>
          <w:rFonts w:hint="eastAsia" w:ascii="宋体" w:hAnsi="宋体" w:cs="宋体"/>
          <w:b/>
          <w:color w:val="000000"/>
          <w:szCs w:val="21"/>
        </w:rPr>
        <w:br w:type="textWrapping"/>
      </w:r>
      <w:r>
        <w:rPr>
          <w:rFonts w:hint="eastAsia" w:ascii="宋体" w:hAnsi="宋体" w:cs="宋体"/>
          <w:color w:val="000000"/>
          <w:szCs w:val="21"/>
        </w:rPr>
        <w:t>　　1．甲苯</w:t>
      </w:r>
      <w:r>
        <w:rPr>
          <w:rFonts w:hint="eastAsia" w:ascii="宋体" w:hAnsi="宋体" w:cs="宋体"/>
          <w:color w:val="000000"/>
          <w:szCs w:val="21"/>
        </w:rPr>
        <w:br w:type="textWrapping"/>
      </w:r>
      <w:r>
        <w:rPr>
          <w:rFonts w:hint="eastAsia" w:ascii="宋体" w:hAnsi="宋体" w:cs="宋体"/>
          <w:color w:val="000000"/>
          <w:szCs w:val="21"/>
        </w:rPr>
        <w:t>　　2．丙酮</w:t>
      </w:r>
      <w:r>
        <w:rPr>
          <w:rFonts w:hint="eastAsia" w:ascii="宋体" w:hAnsi="宋体" w:cs="宋体"/>
          <w:color w:val="000000"/>
          <w:szCs w:val="21"/>
        </w:rPr>
        <w:br w:type="textWrapping"/>
      </w:r>
      <w:r>
        <w:rPr>
          <w:rFonts w:hint="eastAsia" w:ascii="宋体" w:hAnsi="宋体" w:cs="宋体"/>
          <w:color w:val="000000"/>
          <w:szCs w:val="21"/>
        </w:rPr>
        <w:t>　　3．甲基乙基酮</w:t>
      </w:r>
      <w:r>
        <w:rPr>
          <w:rFonts w:hint="eastAsia" w:ascii="宋体" w:hAnsi="宋体" w:cs="宋体"/>
          <w:color w:val="000000"/>
          <w:szCs w:val="21"/>
        </w:rPr>
        <w:br w:type="textWrapping"/>
      </w:r>
      <w:r>
        <w:rPr>
          <w:rFonts w:hint="eastAsia" w:ascii="宋体" w:hAnsi="宋体" w:cs="宋体"/>
          <w:color w:val="000000"/>
          <w:szCs w:val="21"/>
        </w:rPr>
        <w:t>　　4．高锰酸钾</w:t>
      </w:r>
      <w:r>
        <w:rPr>
          <w:rFonts w:hint="eastAsia" w:ascii="宋体" w:hAnsi="宋体" w:cs="宋体"/>
          <w:color w:val="000000"/>
          <w:szCs w:val="21"/>
        </w:rPr>
        <w:br w:type="textWrapping"/>
      </w:r>
      <w:r>
        <w:rPr>
          <w:rFonts w:hint="eastAsia" w:ascii="宋体" w:hAnsi="宋体" w:cs="宋体"/>
          <w:color w:val="000000"/>
          <w:szCs w:val="21"/>
        </w:rPr>
        <w:t>　　5．硫酸</w:t>
      </w:r>
      <w:r>
        <w:rPr>
          <w:rFonts w:hint="eastAsia" w:ascii="宋体" w:hAnsi="宋体" w:cs="宋体"/>
          <w:color w:val="000000"/>
          <w:szCs w:val="21"/>
        </w:rPr>
        <w:br w:type="textWrapping"/>
      </w:r>
      <w:r>
        <w:rPr>
          <w:rFonts w:hint="eastAsia" w:ascii="宋体" w:hAnsi="宋体" w:cs="宋体"/>
          <w:color w:val="000000"/>
          <w:szCs w:val="21"/>
        </w:rPr>
        <w:t>　　6．盐酸</w:t>
      </w:r>
      <w:r>
        <w:rPr>
          <w:rFonts w:hint="eastAsia" w:ascii="宋体" w:hAnsi="宋体" w:cs="宋体"/>
          <w:color w:val="000000"/>
          <w:szCs w:val="21"/>
        </w:rPr>
        <w:br w:type="textWrapping"/>
      </w:r>
      <w:r>
        <w:rPr>
          <w:rFonts w:hint="eastAsia" w:ascii="黑体" w:hAnsi="宋体" w:eastAsia="黑体" w:cs="宋体"/>
          <w:b/>
          <w:color w:val="000000"/>
          <w:szCs w:val="21"/>
        </w:rPr>
        <w:t>说明：</w:t>
      </w:r>
      <w:r>
        <w:rPr>
          <w:rFonts w:hint="eastAsia" w:ascii="宋体" w:hAnsi="宋体" w:cs="宋体"/>
          <w:color w:val="000000"/>
          <w:szCs w:val="21"/>
        </w:rPr>
        <w:t>一、第一类、第二类所列物质可能存在的盐类，也纳入管制。</w:t>
      </w:r>
      <w:r>
        <w:rPr>
          <w:rFonts w:hint="eastAsia" w:ascii="宋体" w:hAnsi="宋体" w:cs="宋体"/>
          <w:color w:val="000000"/>
          <w:szCs w:val="21"/>
        </w:rPr>
        <w:br w:type="textWrapping"/>
      </w:r>
      <w:r>
        <w:rPr>
          <w:rFonts w:hint="eastAsia" w:ascii="宋体" w:hAnsi="宋体" w:cs="宋体"/>
          <w:color w:val="000000"/>
          <w:szCs w:val="21"/>
        </w:rPr>
        <w:t>　　  二、带有＊标记的品种为第一类中的药品类易制毒化学品，第一类中的药品类易制毒化学品包括原料药及其单方制剂。</w:t>
      </w:r>
    </w:p>
    <w:p>
      <w:pPr>
        <w:spacing w:line="300" w:lineRule="auto"/>
        <w:ind w:firstLine="630" w:firstLineChars="300"/>
        <w:rPr>
          <w:rFonts w:hint="eastAsia" w:ascii="宋体" w:hAnsi="宋体" w:cs="宋体"/>
          <w:color w:val="000000"/>
          <w:szCs w:val="21"/>
        </w:rPr>
      </w:pPr>
      <w:r>
        <w:rPr>
          <w:rFonts w:hint="eastAsia" w:ascii="宋体" w:hAnsi="宋体" w:cs="宋体"/>
          <w:color w:val="000000"/>
          <w:szCs w:val="21"/>
        </w:rPr>
        <w:t>三、上述《易制毒化学品分类和品种目录》出至中华人民共和国国务院第445号令《易制毒化学品管理条例》。</w:t>
      </w:r>
    </w:p>
    <w:p>
      <w:pPr>
        <w:spacing w:line="300" w:lineRule="auto"/>
        <w:rPr>
          <w:rFonts w:hint="eastAsia" w:ascii="宋体" w:hAnsi="宋体"/>
          <w:sz w:val="24"/>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p>
    <w:p>
      <w:pPr>
        <w:spacing w:line="300" w:lineRule="auto"/>
        <w:rPr>
          <w:rFonts w:hint="eastAsia" w:ascii="仿宋_GB2312" w:eastAsia="仿宋_GB2312"/>
          <w:sz w:val="28"/>
          <w:szCs w:val="28"/>
        </w:rPr>
      </w:pPr>
      <w:r>
        <w:rPr>
          <w:rFonts w:hint="eastAsia" w:ascii="仿宋_GB2312" w:eastAsia="仿宋_GB2312"/>
          <w:sz w:val="28"/>
          <w:szCs w:val="28"/>
        </w:rPr>
        <w:t xml:space="preserve">                   </w:t>
      </w:r>
    </w:p>
    <w:p>
      <w:pPr>
        <w:spacing w:line="300" w:lineRule="auto"/>
        <w:jc w:val="center"/>
        <w:rPr>
          <w:rFonts w:hint="eastAsia" w:ascii="黑体" w:eastAsia="黑体"/>
          <w:b/>
          <w:sz w:val="36"/>
          <w:szCs w:val="36"/>
        </w:rPr>
      </w:pPr>
      <w:r>
        <w:rPr>
          <w:rFonts w:hint="eastAsia" w:ascii="黑体" w:eastAsia="黑体"/>
          <w:b/>
          <w:sz w:val="36"/>
          <w:szCs w:val="36"/>
        </w:rPr>
        <w:t>山东农业大学</w:t>
      </w:r>
    </w:p>
    <w:p>
      <w:pPr>
        <w:spacing w:line="300" w:lineRule="auto"/>
        <w:jc w:val="center"/>
        <w:rPr>
          <w:rFonts w:hint="eastAsia" w:ascii="黑体" w:eastAsia="黑体"/>
          <w:b/>
          <w:sz w:val="36"/>
          <w:szCs w:val="36"/>
        </w:rPr>
      </w:pPr>
      <w:r>
        <w:rPr>
          <w:rFonts w:hint="eastAsia" w:ascii="黑体" w:eastAsia="黑体"/>
          <w:b/>
          <w:sz w:val="36"/>
          <w:szCs w:val="36"/>
        </w:rPr>
        <w:t>实验室易制毒化学品管理流程图</w:t>
      </w:r>
    </w:p>
    <w:p>
      <w:pPr>
        <w:spacing w:line="300" w:lineRule="auto"/>
        <w:jc w:val="center"/>
        <w:rPr>
          <w:rFonts w:hint="eastAsia"/>
          <w:sz w:val="44"/>
          <w:szCs w:val="44"/>
        </w:rPr>
      </w:pPr>
      <w:r>
        <w:rPr>
          <w:b/>
          <w:sz w:val="44"/>
          <w:szCs w:val="44"/>
        </w:rPr>
        <mc:AlternateContent>
          <mc:Choice Requires="wpc">
            <w:drawing>
              <wp:inline distT="0" distB="0" distL="114300" distR="114300">
                <wp:extent cx="5372100" cy="7231380"/>
                <wp:effectExtent l="0" t="0" r="0" b="0"/>
                <wp:docPr id="17" name="画布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2"/>
                        <wps:cNvSpPr/>
                        <wps:spPr>
                          <a:xfrm>
                            <a:off x="114935" y="1882140"/>
                            <a:ext cx="799465"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sz w:val="24"/>
                                </w:rPr>
                              </w:pPr>
                              <w:r>
                                <w:rPr>
                                  <w:rFonts w:hint="eastAsia" w:ascii="黑体" w:eastAsia="黑体"/>
                                  <w:sz w:val="24"/>
                                </w:rPr>
                                <w:t>需采购易制毒化学品的实验中心、科研实验室提交采购申请 表。</w:t>
                              </w:r>
                            </w:p>
                          </w:txbxContent>
                        </wps:txbx>
                        <wps:bodyPr upright="1"/>
                      </wps:wsp>
                      <wps:wsp>
                        <wps:cNvPr id="3" name="矩形 3"/>
                        <wps:cNvSpPr/>
                        <wps:spPr>
                          <a:xfrm>
                            <a:off x="1371600" y="2179320"/>
                            <a:ext cx="800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24"/>
                                </w:rPr>
                              </w:pPr>
                              <w:r>
                                <w:rPr>
                                  <w:rFonts w:hint="eastAsia" w:ascii="黑体" w:eastAsia="黑体"/>
                                  <w:sz w:val="24"/>
                                </w:rPr>
                                <w:t>学校易制毒化学品管理员审核、汇</w:t>
                              </w:r>
                            </w:p>
                            <w:p>
                              <w:pPr>
                                <w:ind w:left="120" w:leftChars="57"/>
                                <w:rPr>
                                  <w:rFonts w:hint="eastAsia" w:ascii="黑体" w:eastAsia="黑体"/>
                                  <w:sz w:val="24"/>
                                </w:rPr>
                              </w:pPr>
                              <w:r>
                                <w:rPr>
                                  <w:rFonts w:hint="eastAsia" w:ascii="黑体" w:eastAsia="黑体"/>
                                  <w:sz w:val="24"/>
                                </w:rPr>
                                <w:t>总申报表。</w:t>
                              </w:r>
                            </w:p>
                          </w:txbxContent>
                        </wps:txbx>
                        <wps:bodyPr upright="1"/>
                      </wps:wsp>
                      <wps:wsp>
                        <wps:cNvPr id="4" name="矩形 4"/>
                        <wps:cNvSpPr/>
                        <wps:spPr>
                          <a:xfrm>
                            <a:off x="1331595" y="4061460"/>
                            <a:ext cx="914400" cy="3070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sz w:val="24"/>
                                </w:rPr>
                              </w:pPr>
                              <w:r>
                                <w:rPr>
                                  <w:rFonts w:hint="eastAsia" w:ascii="黑体" w:eastAsia="黑体"/>
                                  <w:sz w:val="24"/>
                                </w:rPr>
                                <w:t>教务处定期审核各实验室的</w:t>
                              </w:r>
                            </w:p>
                            <w:p>
                              <w:pPr>
                                <w:rPr>
                                  <w:rFonts w:hint="eastAsia" w:ascii="黑体" w:eastAsia="黑体"/>
                                  <w:sz w:val="24"/>
                                </w:rPr>
                              </w:pPr>
                              <w:r>
                                <w:rPr>
                                  <w:rFonts w:hint="eastAsia" w:ascii="黑体" w:eastAsia="黑体"/>
                                  <w:sz w:val="24"/>
                                </w:rPr>
                                <w:t>采购审批</w:t>
                              </w:r>
                            </w:p>
                            <w:p>
                              <w:pPr>
                                <w:rPr>
                                  <w:rFonts w:hint="eastAsia" w:ascii="黑体" w:eastAsia="黑体"/>
                                  <w:sz w:val="24"/>
                                </w:rPr>
                              </w:pPr>
                              <w:r>
                                <w:rPr>
                                  <w:rFonts w:hint="eastAsia" w:ascii="黑体" w:eastAsia="黑体"/>
                                  <w:sz w:val="24"/>
                                </w:rPr>
                                <w:t>手续、检查实验室台账记录情况和药品保管情况。根据易制毒化学品管理情况确定今后是否代为采购。</w:t>
                              </w:r>
                            </w:p>
                          </w:txbxContent>
                        </wps:txbx>
                        <wps:bodyPr upright="1"/>
                      </wps:wsp>
                      <wps:wsp>
                        <wps:cNvPr id="5" name="矩形 5"/>
                        <wps:cNvSpPr/>
                        <wps:spPr>
                          <a:xfrm>
                            <a:off x="1371600" y="198120"/>
                            <a:ext cx="874395" cy="1684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sz w:val="24"/>
                                </w:rPr>
                              </w:pPr>
                              <w:r>
                                <w:rPr>
                                  <w:rFonts w:hint="eastAsia" w:ascii="黑体" w:eastAsia="黑体"/>
                                  <w:sz w:val="24"/>
                                </w:rPr>
                                <w:t>学校管理员向公安局禁毒大队提交采购申请。公安局审批、备案。</w:t>
                              </w:r>
                            </w:p>
                          </w:txbxContent>
                        </wps:txbx>
                        <wps:bodyPr upright="1"/>
                      </wps:wsp>
                      <wps:wsp>
                        <wps:cNvPr id="6" name="矩形 6"/>
                        <wps:cNvSpPr/>
                        <wps:spPr>
                          <a:xfrm>
                            <a:off x="2514600" y="1783080"/>
                            <a:ext cx="9144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sz w:val="24"/>
                                </w:rPr>
                              </w:pPr>
                              <w:r>
                                <w:rPr>
                                  <w:rFonts w:hint="eastAsia" w:ascii="黑体" w:eastAsia="黑体"/>
                                  <w:sz w:val="24"/>
                                </w:rPr>
                                <w:t>化学院组织订货或学校资产处组织招标，供货公司将药品送到指定地点。</w:t>
                              </w:r>
                            </w:p>
                          </w:txbxContent>
                        </wps:txbx>
                        <wps:bodyPr upright="1"/>
                      </wps:wsp>
                      <wps:wsp>
                        <wps:cNvPr id="7" name="矩形 7"/>
                        <wps:cNvSpPr/>
                        <wps:spPr>
                          <a:xfrm>
                            <a:off x="3886200" y="1584960"/>
                            <a:ext cx="91376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sz w:val="24"/>
                                </w:rPr>
                              </w:pPr>
                              <w:r>
                                <w:rPr>
                                  <w:rFonts w:hint="eastAsia" w:ascii="黑体" w:eastAsia="黑体"/>
                                  <w:sz w:val="24"/>
                                </w:rPr>
                                <w:t>易制毒化学品供货商向实验中心或科研实验室提交供货发票。</w:t>
                              </w:r>
                            </w:p>
                          </w:txbxContent>
                        </wps:txbx>
                        <wps:bodyPr upright="1"/>
                      </wps:wsp>
                      <wps:wsp>
                        <wps:cNvPr id="8" name="直接连接符 8"/>
                        <wps:cNvCnPr/>
                        <wps:spPr>
                          <a:xfrm>
                            <a:off x="914400" y="2673985"/>
                            <a:ext cx="457200" cy="1270"/>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flipV="1">
                            <a:off x="1668145" y="1882775"/>
                            <a:ext cx="635" cy="297815"/>
                          </a:xfrm>
                          <a:prstGeom prst="line">
                            <a:avLst/>
                          </a:prstGeom>
                          <a:ln w="9525" cap="flat" cmpd="sng">
                            <a:solidFill>
                              <a:srgbClr val="000000"/>
                            </a:solidFill>
                            <a:prstDash val="solid"/>
                            <a:headEnd type="none" w="med" len="med"/>
                            <a:tailEnd type="triangle" w="med" len="med"/>
                          </a:ln>
                        </wps:spPr>
                        <wps:bodyPr upright="1"/>
                      </wps:wsp>
                      <wps:wsp>
                        <wps:cNvPr id="10" name="直接连接符 10"/>
                        <wps:cNvCnPr/>
                        <wps:spPr>
                          <a:xfrm>
                            <a:off x="1668145" y="3665220"/>
                            <a:ext cx="1270" cy="395605"/>
                          </a:xfrm>
                          <a:prstGeom prst="line">
                            <a:avLst/>
                          </a:prstGeom>
                          <a:ln w="9525" cap="flat" cmpd="sng">
                            <a:solidFill>
                              <a:srgbClr val="000000"/>
                            </a:solidFill>
                            <a:prstDash val="solid"/>
                            <a:headEnd type="none" w="med" len="med"/>
                            <a:tailEnd type="triangle" w="med" len="med"/>
                          </a:ln>
                        </wps:spPr>
                        <wps:bodyPr upright="1"/>
                      </wps:wsp>
                      <wps:wsp>
                        <wps:cNvPr id="11" name="直接连接符 11"/>
                        <wps:cNvCnPr/>
                        <wps:spPr>
                          <a:xfrm flipV="1">
                            <a:off x="2171700" y="2675255"/>
                            <a:ext cx="342900" cy="635"/>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a:off x="3429000" y="2278380"/>
                            <a:ext cx="457200" cy="635"/>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a:off x="1892935" y="1884045"/>
                            <a:ext cx="635" cy="296545"/>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V="1">
                            <a:off x="1890395" y="3665220"/>
                            <a:ext cx="635" cy="395605"/>
                          </a:xfrm>
                          <a:prstGeom prst="line">
                            <a:avLst/>
                          </a:prstGeom>
                          <a:ln w="9525" cap="flat" cmpd="sng">
                            <a:solidFill>
                              <a:srgbClr val="000000"/>
                            </a:solidFill>
                            <a:prstDash val="solid"/>
                            <a:headEnd type="none" w="med" len="med"/>
                            <a:tailEnd type="triangle" w="med" len="med"/>
                          </a:ln>
                        </wps:spPr>
                        <wps:bodyPr upright="1"/>
                      </wps:wsp>
                      <wps:wsp>
                        <wps:cNvPr id="15" name="矩形 15"/>
                        <wps:cNvSpPr/>
                        <wps:spPr>
                          <a:xfrm>
                            <a:off x="3886200" y="3466465"/>
                            <a:ext cx="1028700" cy="1387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sz w:val="24"/>
                                </w:rPr>
                              </w:pPr>
                              <w:r>
                                <w:rPr>
                                  <w:rFonts w:hint="eastAsia" w:ascii="黑体" w:eastAsia="黑体"/>
                                  <w:sz w:val="24"/>
                                </w:rPr>
                                <w:t>财务处根据各学院提交的发票、经费余额等情况付款记账。</w:t>
                              </w:r>
                            </w:p>
                          </w:txbxContent>
                        </wps:txbx>
                        <wps:bodyPr upright="1"/>
                      </wps:wsp>
                      <wps:wsp>
                        <wps:cNvPr id="16" name="直接连接符 16"/>
                        <wps:cNvCnPr/>
                        <wps:spPr>
                          <a:xfrm>
                            <a:off x="4343400" y="3070860"/>
                            <a:ext cx="0" cy="395605"/>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69.4pt;width:423pt;" coordsize="5372100,7231380" editas="canvas" o:gfxdata="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QdQOpNYAAAAGAQAADwAAAAAAAAABACAAAAAi&#10;AAAAZHJzL2Rvd25yZXYueG1sUEsBAhQAFAAAAAgAh07iQDluP1vxBAAAVCQAAA4AAAAAAAAAAQAg&#10;AAAAJQEAAGRycy9lMm9Eb2MueG1sUEsFBgAAAAAGAAYAWQEAAIgIAAAAAA==&#10;">
                <o:lock v:ext="edit" aspectratio="f"/>
                <v:shape id="_x0000_s1026" o:spid="_x0000_s1026" style="position:absolute;left:0;top:0;height:7231380;width:5372100;" filled="f" stroked="f" coordsize="21600,21600" o:gfxdata="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">
                  <v:fill on="f" focussize="0,0"/>
                  <v:stroke on="f"/>
                  <v:imagedata o:title=""/>
                  <o:lock v:ext="edit" aspectratio="t"/>
                </v:shape>
                <v:rect id="_x0000_s1026" o:spid="_x0000_s1026" o:spt="1" style="position:absolute;left:114935;top:1882140;height:2278380;width:799465;" fillcolor="#FFFFFF" filled="t" stroked="t" coordsize="21600,21600" o:gfxdata="UEsDBAoAAAAAAIdO4kAAAAAAAAAAAAAAAAAEAAAAZHJzL1BLAwQUAAAACACHTuJAHvjVT9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741U/VAAAABgEAAA8AAAAAAAAAAQAgAAAA&#10;IgAAAGRycy9kb3ducmV2LnhtbFBLAQIUABQAAAAIAIdO4kC7N+AVDgIAADQEAAAOAAAAAAAAAAEA&#10;IAAAACQBAABkcnMvZTJvRG9jLnhtbFBLBQYAAAAABgAGAFkBAACkBQAAAAA=&#10;">
                  <v:fill on="t" focussize="0,0"/>
                  <v:stroke color="#000000" joinstyle="miter"/>
                  <v:imagedata o:title=""/>
                  <o:lock v:ext="edit" aspectratio="f"/>
                  <v:textbox>
                    <w:txbxContent>
                      <w:p>
                        <w:pPr>
                          <w:rPr>
                            <w:rFonts w:hint="eastAsia" w:ascii="黑体" w:eastAsia="黑体"/>
                            <w:sz w:val="24"/>
                          </w:rPr>
                        </w:pPr>
                        <w:r>
                          <w:rPr>
                            <w:rFonts w:hint="eastAsia" w:ascii="黑体" w:eastAsia="黑体"/>
                            <w:sz w:val="24"/>
                          </w:rPr>
                          <w:t>需采购易制毒化学品的实验中心、科研实验室提交采购申请 表。</w:t>
                        </w:r>
                      </w:p>
                    </w:txbxContent>
                  </v:textbox>
                </v:rect>
                <v:rect id="_x0000_s1026" o:spid="_x0000_s1026" o:spt="1" style="position:absolute;left:1371600;top:2179320;height:1485900;width:800100;" fillcolor="#FFFFFF" filled="t" stroked="t" coordsize="21600,21600" o:gfxdata="UEsDBAoAAAAAAIdO4kAAAAAAAAAAAAAAAAAEAAAAZHJzL1BLAwQUAAAACACHTuJAHvjVT9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741U/VAAAABgEAAA8AAAAAAAAAAQAgAAAAIgAA&#10;AGRycy9kb3ducmV2LnhtbFBLAQIUABQAAAAIAIdO4kCSEb+aCwIAADUEAAAOAAAAAAAAAAEAIAAA&#10;ACQBAABkcnMvZTJvRG9jLnhtbFBLBQYAAAAABgAGAFkBAAChBQAAAAA=&#10;">
                  <v:fill on="t" focussize="0,0"/>
                  <v:stroke color="#000000" joinstyle="miter"/>
                  <v:imagedata o:title=""/>
                  <o:lock v:ext="edit" aspectratio="f"/>
                  <v:textbox>
                    <w:txbxContent>
                      <w:p>
                        <w:pPr>
                          <w:jc w:val="center"/>
                          <w:rPr>
                            <w:rFonts w:hint="eastAsia" w:ascii="黑体" w:eastAsia="黑体"/>
                            <w:sz w:val="24"/>
                          </w:rPr>
                        </w:pPr>
                        <w:r>
                          <w:rPr>
                            <w:rFonts w:hint="eastAsia" w:ascii="黑体" w:eastAsia="黑体"/>
                            <w:sz w:val="24"/>
                          </w:rPr>
                          <w:t>学校易制毒化学品管理员审核、汇</w:t>
                        </w:r>
                      </w:p>
                      <w:p>
                        <w:pPr>
                          <w:ind w:left="120" w:leftChars="57"/>
                          <w:rPr>
                            <w:rFonts w:hint="eastAsia" w:ascii="黑体" w:eastAsia="黑体"/>
                            <w:sz w:val="24"/>
                          </w:rPr>
                        </w:pPr>
                        <w:r>
                          <w:rPr>
                            <w:rFonts w:hint="eastAsia" w:ascii="黑体" w:eastAsia="黑体"/>
                            <w:sz w:val="24"/>
                          </w:rPr>
                          <w:t>总申报表。</w:t>
                        </w:r>
                      </w:p>
                    </w:txbxContent>
                  </v:textbox>
                </v:rect>
                <v:rect id="_x0000_s1026" o:spid="_x0000_s1026" o:spt="1" style="position:absolute;left:1331595;top:4061460;height:3070860;width:914400;" fillcolor="#FFFFFF" filled="t" stroked="t" coordsize="21600,21600" o:gfxdata="UEsDBAoAAAAAAIdO4kAAAAAAAAAAAAAAAAAEAAAAZHJzL1BLAwQUAAAACACHTuJAHvjVT9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741U/VAAAABgEAAA8AAAAAAAAAAQAgAAAA&#10;IgAAAGRycy9kb3ducmV2LnhtbFBLAQIUABQAAAAIAIdO4kAPPZ9oDgIAADUEAAAOAAAAAAAAAAEA&#10;IAAAACQBAABkcnMvZTJvRG9jLnhtbFBLBQYAAAAABgAGAFkBAACkBQAAAAA=&#10;">
                  <v:fill on="t" focussize="0,0"/>
                  <v:stroke color="#000000" joinstyle="miter"/>
                  <v:imagedata o:title=""/>
                  <o:lock v:ext="edit" aspectratio="f"/>
                  <v:textbox>
                    <w:txbxContent>
                      <w:p>
                        <w:pPr>
                          <w:rPr>
                            <w:rFonts w:hint="eastAsia" w:ascii="黑体" w:eastAsia="黑体"/>
                            <w:sz w:val="24"/>
                          </w:rPr>
                        </w:pPr>
                        <w:r>
                          <w:rPr>
                            <w:rFonts w:hint="eastAsia" w:ascii="黑体" w:eastAsia="黑体"/>
                            <w:sz w:val="24"/>
                          </w:rPr>
                          <w:t>教务处定期审核各实验室的</w:t>
                        </w:r>
                      </w:p>
                      <w:p>
                        <w:pPr>
                          <w:rPr>
                            <w:rFonts w:hint="eastAsia" w:ascii="黑体" w:eastAsia="黑体"/>
                            <w:sz w:val="24"/>
                          </w:rPr>
                        </w:pPr>
                        <w:r>
                          <w:rPr>
                            <w:rFonts w:hint="eastAsia" w:ascii="黑体" w:eastAsia="黑体"/>
                            <w:sz w:val="24"/>
                          </w:rPr>
                          <w:t>采购审批</w:t>
                        </w:r>
                      </w:p>
                      <w:p>
                        <w:pPr>
                          <w:rPr>
                            <w:rFonts w:hint="eastAsia" w:ascii="黑体" w:eastAsia="黑体"/>
                            <w:sz w:val="24"/>
                          </w:rPr>
                        </w:pPr>
                        <w:r>
                          <w:rPr>
                            <w:rFonts w:hint="eastAsia" w:ascii="黑体" w:eastAsia="黑体"/>
                            <w:sz w:val="24"/>
                          </w:rPr>
                          <w:t>手续、检查实验室台账记录情况和药品保管情况。根据易制毒化学品管理情况确定今后是否代为采购。</w:t>
                        </w:r>
                      </w:p>
                    </w:txbxContent>
                  </v:textbox>
                </v:rect>
                <v:rect id="_x0000_s1026" o:spid="_x0000_s1026" o:spt="1" style="position:absolute;left:1371600;top:198120;height:1684655;width:874395;" fillcolor="#FFFFFF" filled="t" stroked="t" coordsize="21600,21600" o:gfxdata="UEsDBAoAAAAAAIdO4kAAAAAAAAAAAAAAAAAEAAAAZHJzL1BLAwQUAAAACACHTuJAHvjVT9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vjVT9UAAAAGAQAADwAAAAAAAAABACAAAAAi&#10;AAAAZHJzL2Rvd25yZXYueG1sUEsBAhQAFAAAAAgAh07iQB8TuR8NAgAANAQAAA4AAAAAAAAAAQAg&#10;AAAAJAEAAGRycy9lMm9Eb2MueG1sUEsFBgAAAAAGAAYAWQEAAKMFAAAAAA==&#10;">
                  <v:fill on="t" focussize="0,0"/>
                  <v:stroke color="#000000" joinstyle="miter"/>
                  <v:imagedata o:title=""/>
                  <o:lock v:ext="edit" aspectratio="f"/>
                  <v:textbox>
                    <w:txbxContent>
                      <w:p>
                        <w:pPr>
                          <w:rPr>
                            <w:rFonts w:hint="eastAsia" w:ascii="黑体" w:eastAsia="黑体"/>
                            <w:sz w:val="24"/>
                          </w:rPr>
                        </w:pPr>
                        <w:r>
                          <w:rPr>
                            <w:rFonts w:hint="eastAsia" w:ascii="黑体" w:eastAsia="黑体"/>
                            <w:sz w:val="24"/>
                          </w:rPr>
                          <w:t>学校管理员向公安局禁毒大队提交采购申请。公安局审批、备案。</w:t>
                        </w:r>
                      </w:p>
                    </w:txbxContent>
                  </v:textbox>
                </v:rect>
                <v:rect id="_x0000_s1026" o:spid="_x0000_s1026" o:spt="1" style="position:absolute;left:2514600;top:1783080;height:1783080;width:914400;" fillcolor="#FFFFFF" filled="t" stroked="t" coordsize="21600,21600" o:gfxdata="UEsDBAoAAAAAAIdO4kAAAAAAAAAAAAAAAAAEAAAAZHJzL1BLAwQUAAAACACHTuJAHvjVT9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NVP1QAAAAYBAAAPAAAAAAAAAAEAIAAAACIAAABk&#10;cnMvZG93bnJldi54bWxQSwECFAAUAAAACACHTuJAX/usAQkCAAA1BAAADgAAAAAAAAABACAAAAAk&#10;AQAAZHJzL2Uyb0RvYy54bWxQSwUGAAAAAAYABgBZAQAAnwUAAAAA&#10;">
                  <v:fill on="t" focussize="0,0"/>
                  <v:stroke color="#000000" joinstyle="miter"/>
                  <v:imagedata o:title=""/>
                  <o:lock v:ext="edit" aspectratio="f"/>
                  <v:textbox>
                    <w:txbxContent>
                      <w:p>
                        <w:pPr>
                          <w:rPr>
                            <w:rFonts w:hint="eastAsia" w:ascii="黑体" w:eastAsia="黑体"/>
                            <w:sz w:val="24"/>
                          </w:rPr>
                        </w:pPr>
                        <w:r>
                          <w:rPr>
                            <w:rFonts w:hint="eastAsia" w:ascii="黑体" w:eastAsia="黑体"/>
                            <w:sz w:val="24"/>
                          </w:rPr>
                          <w:t>化学院组织订货或学校资产处组织招标，供货公司将药品送到指定地点。</w:t>
                        </w:r>
                      </w:p>
                    </w:txbxContent>
                  </v:textbox>
                </v:rect>
                <v:rect id="_x0000_s1026" o:spid="_x0000_s1026" o:spt="1" style="position:absolute;left:3886200;top:1584960;height:1485900;width:913765;" fillcolor="#FFFFFF" filled="t" stroked="t" coordsize="21600,21600" o:gfxdata="UEsDBAoAAAAAAIdO4kAAAAAAAAAAAAAAAAAEAAAAZHJzL1BLAwQUAAAACACHTuJAHvjVT9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741U/VAAAABgEAAA8AAAAAAAAAAQAgAAAAIgAA&#10;AGRycy9kb3ducmV2LnhtbFBLAQIUABQAAAAIAIdO4kDAGFDLCwIAADUEAAAOAAAAAAAAAAEAIAAA&#10;ACQBAABkcnMvZTJvRG9jLnhtbFBLBQYAAAAABgAGAFkBAAChBQAAAAA=&#10;">
                  <v:fill on="t" focussize="0,0"/>
                  <v:stroke color="#000000" joinstyle="miter"/>
                  <v:imagedata o:title=""/>
                  <o:lock v:ext="edit" aspectratio="f"/>
                  <v:textbox>
                    <w:txbxContent>
                      <w:p>
                        <w:pPr>
                          <w:rPr>
                            <w:rFonts w:hint="eastAsia" w:ascii="黑体" w:eastAsia="黑体"/>
                            <w:sz w:val="24"/>
                          </w:rPr>
                        </w:pPr>
                        <w:r>
                          <w:rPr>
                            <w:rFonts w:hint="eastAsia" w:ascii="黑体" w:eastAsia="黑体"/>
                            <w:sz w:val="24"/>
                          </w:rPr>
                          <w:t>易制毒化学品供货商向实验中心或科研实验室提交供货发票。</w:t>
                        </w:r>
                      </w:p>
                    </w:txbxContent>
                  </v:textbox>
                </v:rect>
                <v:line id="_x0000_s1026" o:spid="_x0000_s1026" o:spt="20" style="position:absolute;left:914400;top:2673985;height:1270;width:457200;" filled="f" stroked="t" coordsize="21600,21600" o:gfxdata="UEsDBAoAAAAAAIdO4kAAAAAAAAAAAAAAAAAEAAAAZHJzL1BLAwQUAAAACACHTuJArLYYN9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y2GDfWAAAABgEAAA8AAAAAAAAAAQAgAAAA&#10;IgAAAGRycy9kb3ducmV2LnhtbFBLAQIUABQAAAAIAIdO4kAiGS2pDQIAAPUDAAAOAAAAAAAAAAEA&#10;IAAAACUBAABkcnMvZTJvRG9jLnhtbFBLBQYAAAAABgAGAFkBAACkBQAAAAA=&#10;">
                  <v:fill on="f" focussize="0,0"/>
                  <v:stroke color="#000000" joinstyle="round" endarrow="block"/>
                  <v:imagedata o:title=""/>
                  <o:lock v:ext="edit" aspectratio="f"/>
                </v:line>
                <v:line id="_x0000_s1026" o:spid="_x0000_s1026" o:spt="20" style="position:absolute;left:1668145;top:1882775;flip:y;height:297815;width:635;" filled="f" stroked="t" coordsize="21600,21600" o:gfxdata="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n0otYAAAAGAQAADwAAAAAAAAAB&#10;ACAAAAAiAAAAZHJzL2Rvd25yZXYueG1sUEsBAhQAFAAAAAgAh07iQMs2ThESAgAA/wMAAA4AAAAA&#10;AAAAAQAgAAAAJQEAAGRycy9lMm9Eb2MueG1sUEsFBgAAAAAGAAYAWQEAAKkFAAAAAA==&#10;">
                  <v:fill on="f" focussize="0,0"/>
                  <v:stroke color="#000000" joinstyle="round" endarrow="block"/>
                  <v:imagedata o:title=""/>
                  <o:lock v:ext="edit" aspectratio="f"/>
                </v:line>
                <v:line id="_x0000_s1026" o:spid="_x0000_s1026" o:spt="20" style="position:absolute;left:1668145;top:3665220;height:395605;width:1270;" filled="f" stroked="t" coordsize="21600,21600" o:gfxdata="UEsDBAoAAAAAAIdO4kAAAAAAAAAAAAAAAAAEAAAAZHJzL1BLAwQUAAAACACHTuJArLYYN9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LYYN9YAAAAGAQAADwAAAAAAAAABACAAAAAiAAAA&#10;ZHJzL2Rvd25yZXYueG1sUEsBAhQAFAAAAAgAh07iQKq0KB4JAgAA+AMAAA4AAAAAAAAAAQAgAAAA&#10;JQEAAGRycy9lMm9Eb2MueG1sUEsFBgAAAAAGAAYAWQEAAKAFAAAAAA==&#10;">
                  <v:fill on="f" focussize="0,0"/>
                  <v:stroke color="#000000" joinstyle="round" endarrow="block"/>
                  <v:imagedata o:title=""/>
                  <o:lock v:ext="edit" aspectratio="f"/>
                </v:line>
                <v:line id="_x0000_s1026" o:spid="_x0000_s1026" o:spt="20" style="position:absolute;left:2171700;top:2675255;flip:y;height:635;width:342900;" filled="f" stroked="t" coordsize="21600,21600" o:gfxdata="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afSi1gAAAAYBAAAPAAAAAAAAAAEA&#10;IAAAACIAAABkcnMvZG93bnJldi54bWxQSwECFAAUAAAACACHTuJAjiA6LBECAAABBAAADgAAAAAA&#10;AAABACAAAAAlAQAAZHJzL2Uyb0RvYy54bWxQSwUGAAAAAAYABgBZAQAAqAUAAAAA&#10;">
                  <v:fill on="f" focussize="0,0"/>
                  <v:stroke color="#000000" joinstyle="round" endarrow="block"/>
                  <v:imagedata o:title=""/>
                  <o:lock v:ext="edit" aspectratio="f"/>
                </v:line>
                <v:line id="_x0000_s1026" o:spid="_x0000_s1026" o:spt="20" style="position:absolute;left:3429000;top:2278380;height:635;width:457200;" filled="f" stroked="t" coordsize="21600,21600" o:gfxdata="UEsDBAoAAAAAAIdO4kAAAAAAAAAAAAAAAAAEAAAAZHJzL1BLAwQUAAAACACHTuJArLYYN9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thg31gAAAAYBAAAPAAAAAAAAAAEAIAAAACIA&#10;AABkcnMvZG93bnJldi54bWxQSwECFAAUAAAACACHTuJAKq0VtwsCAAD3AwAADgAAAAAAAAABACAA&#10;AAAlAQAAZHJzL2Uyb0RvYy54bWxQSwUGAAAAAAYABgBZAQAAogUAAAAA&#10;">
                  <v:fill on="f" focussize="0,0"/>
                  <v:stroke color="#000000" joinstyle="round" endarrow="block"/>
                  <v:imagedata o:title=""/>
                  <o:lock v:ext="edit" aspectratio="f"/>
                </v:line>
                <v:line id="_x0000_s1026" o:spid="_x0000_s1026" o:spt="20" style="position:absolute;left:1892935;top:1884045;height:296545;width:635;" filled="f" stroked="t" coordsize="21600,21600" o:gfxdata="UEsDBAoAAAAAAIdO4kAAAAAAAAAAAAAAAAAEAAAAZHJzL1BLAwQUAAAACACHTuJArLYYN9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LYYN9YAAAAGAQAADwAAAAAAAAABACAAAAAiAAAA&#10;ZHJzL2Rvd25yZXYueG1sUEsBAhQAFAAAAAgAh07iQJafAdsJAgAA9wMAAA4AAAAAAAAAAQAgAAAA&#10;JQEAAGRycy9lMm9Eb2MueG1sUEsFBgAAAAAGAAYAWQEAAKAFAAAAAA==&#10;">
                  <v:fill on="f" focussize="0,0"/>
                  <v:stroke color="#000000" joinstyle="round" endarrow="block"/>
                  <v:imagedata o:title=""/>
                  <o:lock v:ext="edit" aspectratio="f"/>
                </v:line>
                <v:line id="_x0000_s1026" o:spid="_x0000_s1026" o:spt="20" style="position:absolute;left:1890395;top:3665220;flip:y;height:395605;width:635;" filled="f" stroked="t" coordsize="21600,21600" o:gfxdata="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p9KLWAAAABgEAAA8AAAAAAAAAAQAg&#10;AAAAIgAAAGRycy9kb3ducmV2LnhtbFBLAQIUABQAAAAIAIdO4kCzVb0kEAIAAAEEAAAOAAAAAAAA&#10;AAEAIAAAACUBAABkcnMvZTJvRG9jLnhtbFBLBQYAAAAABgAGAFkBAACnBQAAAAA=&#10;">
                  <v:fill on="f" focussize="0,0"/>
                  <v:stroke color="#000000" joinstyle="round" endarrow="block"/>
                  <v:imagedata o:title=""/>
                  <o:lock v:ext="edit" aspectratio="f"/>
                </v:line>
                <v:rect id="_x0000_s1026" o:spid="_x0000_s1026" o:spt="1" style="position:absolute;left:3886200;top:3466465;height:1387475;width:1028700;" fillcolor="#FFFFFF" filled="t" stroked="t" coordsize="21600,21600" o:gfxdata="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741U/VAAAABgEAAA8AAAAAAAAAAQAg&#10;AAAAIgAAAGRycy9kb3ducmV2LnhtbFBLAQIUABQAAAAIAIdO4kAQnTCSEQIAADgEAAAOAAAAAAAA&#10;AAEAIAAAACQBAABkcnMvZTJvRG9jLnhtbFBLBQYAAAAABgAGAFkBAACnBQAAAAA=&#10;">
                  <v:fill on="t" focussize="0,0"/>
                  <v:stroke color="#000000" joinstyle="miter"/>
                  <v:imagedata o:title=""/>
                  <o:lock v:ext="edit" aspectratio="f"/>
                  <v:textbox>
                    <w:txbxContent>
                      <w:p>
                        <w:pPr>
                          <w:rPr>
                            <w:rFonts w:hint="eastAsia" w:ascii="黑体" w:eastAsia="黑体"/>
                            <w:sz w:val="24"/>
                          </w:rPr>
                        </w:pPr>
                        <w:r>
                          <w:rPr>
                            <w:rFonts w:hint="eastAsia" w:ascii="黑体" w:eastAsia="黑体"/>
                            <w:sz w:val="24"/>
                          </w:rPr>
                          <w:t>财务处根据各学院提交的发票、经费余额等情况付款记账。</w:t>
                        </w:r>
                      </w:p>
                    </w:txbxContent>
                  </v:textbox>
                </v:rect>
                <v:line id="_x0000_s1026" o:spid="_x0000_s1026" o:spt="20" style="position:absolute;left:4343400;top:3070860;height:395605;width:0;" filled="f" stroked="t" coordsize="21600,21600" o:gfxdata="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2GDfWAAAABgEAAA8AAAAAAAAAAQAgAAAAIgAAAGRy&#10;cy9kb3ducmV2LnhtbFBLAQIUABQAAAAIAIdO4kAbg+XzBwIAAPUDAAAOAAAAAAAAAAEAIAAAACUB&#10;AABkcnMvZTJvRG9jLnhtbFBLBQYAAAAABgAGAFkBAACeBQAAAAA=&#10;">
                  <v:fill on="f" focussize="0,0"/>
                  <v:stroke color="#000000" joinstyle="round" endarrow="block"/>
                  <v:imagedata o:title=""/>
                  <o:lock v:ext="edit" aspectratio="f"/>
                </v:line>
                <w10:wrap type="none"/>
                <w10:anchorlock/>
              </v:group>
            </w:pict>
          </mc:Fallback>
        </mc:AlternateContent>
      </w:r>
    </w:p>
    <w:p>
      <w:pPr>
        <w:spacing w:line="300" w:lineRule="auto"/>
        <w:rPr>
          <w:rFonts w:hint="eastAsia" w:ascii="仿宋_GB2312" w:eastAsia="仿宋_GB2312"/>
          <w:sz w:val="28"/>
          <w:szCs w:val="28"/>
        </w:rPr>
        <w:sectPr>
          <w:pgSz w:w="12240" w:h="15840"/>
          <w:pgMar w:top="1134" w:right="1134" w:bottom="1134" w:left="1418" w:header="720" w:footer="720" w:gutter="0"/>
          <w:cols w:space="720" w:num="1"/>
        </w:sectPr>
      </w:pPr>
    </w:p>
    <w:p>
      <w:pPr>
        <w:pStyle w:val="17"/>
        <w:spacing w:line="360" w:lineRule="auto"/>
        <w:ind w:firstLine="1120" w:firstLineChars="400"/>
        <w:rPr>
          <w:rFonts w:ascii="宋体" w:hAnsi="宋体"/>
          <w:b/>
          <w:bCs/>
          <w:sz w:val="32"/>
          <w:szCs w:val="32"/>
        </w:rPr>
      </w:pPr>
      <w:r>
        <w:rPr>
          <w:rFonts w:hint="eastAsia" w:ascii="仿宋_GB2312" w:eastAsia="仿宋_GB2312"/>
          <w:sz w:val="28"/>
          <w:szCs w:val="28"/>
        </w:rPr>
        <w:t xml:space="preserve">                   </w:t>
      </w:r>
      <w:r>
        <w:rPr>
          <w:rFonts w:hint="eastAsia" w:ascii="宋体" w:hAnsi="宋体"/>
          <w:b/>
          <w:bCs/>
          <w:sz w:val="32"/>
          <w:szCs w:val="32"/>
        </w:rPr>
        <w:t>山东农业大学实验室易制毒化学品采购申请表</w:t>
      </w:r>
    </w:p>
    <w:p>
      <w:pPr>
        <w:spacing w:line="360" w:lineRule="auto"/>
        <w:ind w:firstLine="310" w:firstLineChars="147"/>
        <w:rPr>
          <w:rFonts w:hint="eastAsia" w:ascii="宋体" w:hAnsi="宋体"/>
          <w:szCs w:val="21"/>
        </w:rPr>
      </w:pPr>
      <w:r>
        <w:rPr>
          <w:rFonts w:hint="eastAsia" w:ascii="宋体" w:hAnsi="宋体"/>
          <w:b/>
          <w:bCs/>
          <w:szCs w:val="21"/>
        </w:rPr>
        <w:t>学院：                     实验中心或科研实验室名称</w:t>
      </w:r>
      <w:r>
        <w:rPr>
          <w:rFonts w:hint="eastAsia" w:ascii="宋体" w:hAnsi="宋体"/>
          <w:b/>
          <w:bCs/>
          <w:szCs w:val="21"/>
          <w:lang w:eastAsia="zh-CN"/>
        </w:rPr>
        <w:t>及房间号</w:t>
      </w:r>
      <w:r>
        <w:rPr>
          <w:rFonts w:hint="eastAsia" w:ascii="宋体" w:hAnsi="宋体"/>
          <w:b/>
          <w:bCs/>
          <w:szCs w:val="21"/>
        </w:rPr>
        <w:t xml:space="preserve">：  </w:t>
      </w:r>
      <w:r>
        <w:rPr>
          <w:rFonts w:hint="eastAsia" w:ascii="宋体" w:hAnsi="宋体"/>
          <w:b/>
          <w:bCs/>
          <w:szCs w:val="21"/>
          <w:lang w:val="en-US" w:eastAsia="zh-CN"/>
        </w:rPr>
        <w:t xml:space="preserve">                   </w:t>
      </w:r>
      <w:r>
        <w:rPr>
          <w:rFonts w:hint="eastAsia" w:ascii="宋体" w:hAnsi="宋体"/>
          <w:b/>
          <w:bCs/>
          <w:szCs w:val="21"/>
        </w:rPr>
        <w:t xml:space="preserve">                                </w:t>
      </w:r>
      <w:r>
        <w:rPr>
          <w:rFonts w:hint="eastAsia" w:ascii="宋体" w:hAnsi="宋体"/>
          <w:szCs w:val="21"/>
        </w:rPr>
        <w:t>年   月   日</w:t>
      </w:r>
    </w:p>
    <w:tbl>
      <w:tblPr>
        <w:tblStyle w:val="9"/>
        <w:tblW w:w="0" w:type="auto"/>
        <w:jc w:val="center"/>
        <w:tblLayout w:type="fixed"/>
        <w:tblCellMar>
          <w:top w:w="0" w:type="dxa"/>
          <w:left w:w="108" w:type="dxa"/>
          <w:bottom w:w="0" w:type="dxa"/>
          <w:right w:w="108" w:type="dxa"/>
        </w:tblCellMar>
      </w:tblPr>
      <w:tblGrid>
        <w:gridCol w:w="1548"/>
        <w:gridCol w:w="1564"/>
        <w:gridCol w:w="2036"/>
        <w:gridCol w:w="2340"/>
        <w:gridCol w:w="1240"/>
        <w:gridCol w:w="1260"/>
        <w:gridCol w:w="1440"/>
        <w:gridCol w:w="2160"/>
      </w:tblGrid>
      <w:tr>
        <w:tblPrEx>
          <w:tblCellMar>
            <w:top w:w="0" w:type="dxa"/>
            <w:left w:w="108" w:type="dxa"/>
            <w:bottom w:w="0" w:type="dxa"/>
            <w:right w:w="108" w:type="dxa"/>
          </w:tblCellMar>
        </w:tblPrEx>
        <w:trPr>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center"/>
              <w:rPr>
                <w:rFonts w:ascii="宋体" w:hAnsi="宋体"/>
                <w:b/>
                <w:bCs/>
                <w:szCs w:val="21"/>
              </w:rPr>
            </w:pPr>
            <w:r>
              <w:rPr>
                <w:rFonts w:hint="eastAsia" w:ascii="宋体" w:hAnsi="宋体"/>
                <w:b/>
                <w:bCs/>
                <w:szCs w:val="21"/>
              </w:rPr>
              <w:t>易制毒</w:t>
            </w:r>
          </w:p>
          <w:p>
            <w:pPr>
              <w:spacing w:line="300" w:lineRule="auto"/>
              <w:jc w:val="center"/>
              <w:rPr>
                <w:rFonts w:ascii="宋体" w:hAnsi="宋体"/>
                <w:b/>
                <w:bCs/>
                <w:szCs w:val="21"/>
              </w:rPr>
            </w:pPr>
            <w:r>
              <w:rPr>
                <w:rFonts w:hint="eastAsia" w:ascii="宋体" w:hAnsi="宋体"/>
                <w:b/>
                <w:bCs/>
                <w:szCs w:val="21"/>
              </w:rPr>
              <w:t>化学品名称</w:t>
            </w:r>
          </w:p>
        </w:tc>
        <w:tc>
          <w:tcPr>
            <w:tcW w:w="1564"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ascii="宋体" w:hAnsi="宋体"/>
                <w:b/>
                <w:bCs/>
                <w:szCs w:val="21"/>
              </w:rPr>
            </w:pPr>
            <w:r>
              <w:rPr>
                <w:rFonts w:hint="eastAsia" w:ascii="宋体" w:hAnsi="宋体"/>
                <w:b/>
                <w:bCs/>
                <w:szCs w:val="21"/>
              </w:rPr>
              <w:t>申购数量</w:t>
            </w:r>
          </w:p>
          <w:p>
            <w:pPr>
              <w:spacing w:line="300" w:lineRule="auto"/>
              <w:jc w:val="center"/>
              <w:rPr>
                <w:rFonts w:ascii="宋体" w:hAnsi="宋体"/>
                <w:b/>
                <w:bCs/>
                <w:szCs w:val="21"/>
              </w:rPr>
            </w:pPr>
            <w:r>
              <w:rPr>
                <w:rFonts w:hint="eastAsia" w:ascii="宋体" w:hAnsi="宋体"/>
                <w:b/>
                <w:bCs/>
                <w:szCs w:val="21"/>
              </w:rPr>
              <w:t>（毫升、克）</w:t>
            </w:r>
          </w:p>
        </w:tc>
        <w:tc>
          <w:tcPr>
            <w:tcW w:w="2036"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ascii="宋体" w:hAnsi="宋体"/>
                <w:b/>
                <w:bCs/>
                <w:szCs w:val="21"/>
              </w:rPr>
            </w:pPr>
            <w:r>
              <w:rPr>
                <w:rFonts w:hint="eastAsia" w:ascii="宋体" w:hAnsi="宋体"/>
                <w:b/>
                <w:bCs/>
                <w:szCs w:val="21"/>
              </w:rPr>
              <w:t>实 验 内 容</w:t>
            </w:r>
          </w:p>
        </w:tc>
        <w:tc>
          <w:tcPr>
            <w:tcW w:w="2340"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ascii="宋体" w:hAnsi="宋体"/>
                <w:b/>
                <w:bCs/>
                <w:szCs w:val="21"/>
              </w:rPr>
            </w:pPr>
            <w:r>
              <w:rPr>
                <w:rFonts w:hint="eastAsia" w:ascii="宋体" w:hAnsi="宋体"/>
                <w:b/>
                <w:bCs/>
                <w:szCs w:val="21"/>
              </w:rPr>
              <w:t xml:space="preserve">经费项目名称      </w:t>
            </w:r>
          </w:p>
        </w:tc>
        <w:tc>
          <w:tcPr>
            <w:tcW w:w="1240"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ascii="宋体" w:hAnsi="宋体"/>
                <w:b/>
                <w:bCs/>
                <w:szCs w:val="21"/>
              </w:rPr>
            </w:pPr>
            <w:r>
              <w:rPr>
                <w:rFonts w:hint="eastAsia" w:ascii="宋体" w:hAnsi="宋体"/>
                <w:b/>
                <w:bCs/>
                <w:szCs w:val="21"/>
              </w:rPr>
              <w:t>部门</w:t>
            </w:r>
          </w:p>
          <w:p>
            <w:pPr>
              <w:spacing w:line="300" w:lineRule="auto"/>
              <w:jc w:val="center"/>
              <w:rPr>
                <w:rFonts w:ascii="宋体" w:hAnsi="宋体"/>
                <w:b/>
                <w:bCs/>
                <w:szCs w:val="21"/>
              </w:rPr>
            </w:pPr>
            <w:r>
              <w:rPr>
                <w:rFonts w:hint="eastAsia" w:ascii="宋体" w:hAnsi="宋体"/>
                <w:b/>
                <w:bCs/>
                <w:szCs w:val="21"/>
              </w:rPr>
              <w:t>项目编号</w:t>
            </w:r>
          </w:p>
        </w:tc>
        <w:tc>
          <w:tcPr>
            <w:tcW w:w="1260"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ascii="宋体" w:hAnsi="宋体"/>
                <w:b/>
                <w:bCs/>
                <w:szCs w:val="21"/>
              </w:rPr>
            </w:pPr>
            <w:r>
              <w:rPr>
                <w:rFonts w:hint="eastAsia" w:ascii="宋体" w:hAnsi="宋体"/>
                <w:b/>
                <w:bCs/>
                <w:szCs w:val="21"/>
              </w:rPr>
              <w:t>保管员</w:t>
            </w:r>
          </w:p>
        </w:tc>
        <w:tc>
          <w:tcPr>
            <w:tcW w:w="1440" w:type="dxa"/>
            <w:tcBorders>
              <w:top w:val="single" w:color="000000" w:sz="4" w:space="0"/>
              <w:left w:val="nil"/>
              <w:bottom w:val="single" w:color="000000" w:sz="4" w:space="0"/>
              <w:right w:val="single" w:color="000000" w:sz="4" w:space="0"/>
            </w:tcBorders>
            <w:noWrap w:val="0"/>
            <w:vAlign w:val="center"/>
          </w:tcPr>
          <w:p>
            <w:pPr>
              <w:spacing w:line="300" w:lineRule="auto"/>
              <w:rPr>
                <w:rFonts w:ascii="宋体" w:hAnsi="宋体"/>
                <w:b/>
                <w:bCs/>
                <w:szCs w:val="21"/>
              </w:rPr>
            </w:pPr>
            <w:r>
              <w:rPr>
                <w:rFonts w:hint="eastAsia" w:ascii="宋体" w:hAnsi="宋体"/>
                <w:b/>
                <w:bCs/>
                <w:szCs w:val="21"/>
              </w:rPr>
              <w:t>保管员电话</w:t>
            </w:r>
          </w:p>
        </w:tc>
        <w:tc>
          <w:tcPr>
            <w:tcW w:w="2160"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ascii="宋体" w:hAnsi="宋体"/>
                <w:b/>
                <w:bCs/>
                <w:szCs w:val="21"/>
              </w:rPr>
            </w:pPr>
            <w:r>
              <w:rPr>
                <w:rFonts w:hint="eastAsia" w:ascii="宋体" w:hAnsi="宋体"/>
                <w:b/>
                <w:bCs/>
                <w:szCs w:val="21"/>
              </w:rPr>
              <w:t>保管地点（楼房号）</w:t>
            </w:r>
          </w:p>
        </w:tc>
      </w:tr>
      <w:tr>
        <w:tblPrEx>
          <w:tblCellMar>
            <w:top w:w="0" w:type="dxa"/>
            <w:left w:w="108" w:type="dxa"/>
            <w:bottom w:w="0" w:type="dxa"/>
            <w:right w:w="108" w:type="dxa"/>
          </w:tblCellMar>
        </w:tblPrEx>
        <w:trPr>
          <w:trHeight w:val="794"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564"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036"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3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4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1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r>
      <w:tr>
        <w:tblPrEx>
          <w:tblCellMar>
            <w:top w:w="0" w:type="dxa"/>
            <w:left w:w="108" w:type="dxa"/>
            <w:bottom w:w="0" w:type="dxa"/>
            <w:right w:w="108" w:type="dxa"/>
          </w:tblCellMar>
        </w:tblPrEx>
        <w:trPr>
          <w:trHeight w:val="794"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564"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036"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3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4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1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r>
      <w:tr>
        <w:tblPrEx>
          <w:tblCellMar>
            <w:top w:w="0" w:type="dxa"/>
            <w:left w:w="108" w:type="dxa"/>
            <w:bottom w:w="0" w:type="dxa"/>
            <w:right w:w="108" w:type="dxa"/>
          </w:tblCellMar>
        </w:tblPrEx>
        <w:trPr>
          <w:trHeight w:val="794"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564"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036"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3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4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1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r>
      <w:tr>
        <w:tblPrEx>
          <w:tblCellMar>
            <w:top w:w="0" w:type="dxa"/>
            <w:left w:w="108" w:type="dxa"/>
            <w:bottom w:w="0" w:type="dxa"/>
            <w:right w:w="108" w:type="dxa"/>
          </w:tblCellMar>
        </w:tblPrEx>
        <w:trPr>
          <w:trHeight w:val="794"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564"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036"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3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4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1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r>
      <w:tr>
        <w:tblPrEx>
          <w:tblCellMar>
            <w:top w:w="0" w:type="dxa"/>
            <w:left w:w="108" w:type="dxa"/>
            <w:bottom w:w="0" w:type="dxa"/>
            <w:right w:w="108" w:type="dxa"/>
          </w:tblCellMar>
        </w:tblPrEx>
        <w:trPr>
          <w:trHeight w:val="794"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564"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036"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3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2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144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c>
          <w:tcPr>
            <w:tcW w:w="216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ascii="宋体" w:hAnsi="宋体"/>
                <w:b/>
                <w:bCs/>
                <w:szCs w:val="21"/>
              </w:rPr>
            </w:pPr>
          </w:p>
        </w:tc>
      </w:tr>
    </w:tbl>
    <w:p>
      <w:pPr>
        <w:spacing w:line="300" w:lineRule="auto"/>
        <w:rPr>
          <w:rFonts w:hint="eastAsia" w:ascii="宋体" w:hAnsi="宋体"/>
          <w:b/>
          <w:bCs/>
          <w:sz w:val="24"/>
        </w:rPr>
      </w:pPr>
      <w:r>
        <w:rPr>
          <w:rFonts w:hint="eastAsia" w:ascii="宋体" w:hAnsi="宋体"/>
          <w:b/>
          <w:bCs/>
          <w:sz w:val="24"/>
        </w:rPr>
        <w:t>分管院长：                 实验中心主任</w:t>
      </w:r>
      <w:r>
        <w:rPr>
          <w:rFonts w:hint="eastAsia" w:ascii="宋体" w:hAnsi="宋体"/>
          <w:b/>
          <w:bCs/>
          <w:sz w:val="24"/>
          <w:lang w:eastAsia="zh-CN"/>
        </w:rPr>
        <w:t>或实验室</w:t>
      </w:r>
      <w:r>
        <w:rPr>
          <w:rFonts w:hint="eastAsia" w:ascii="宋体" w:hAnsi="宋体"/>
          <w:b/>
          <w:bCs/>
          <w:sz w:val="24"/>
        </w:rPr>
        <w:t>负责人：                       填表人：</w:t>
      </w:r>
    </w:p>
    <w:p>
      <w:pPr>
        <w:snapToGrid w:val="0"/>
        <w:rPr>
          <w:rFonts w:hint="eastAsia" w:ascii="宋体" w:hAnsi="宋体"/>
          <w:sz w:val="24"/>
        </w:rPr>
      </w:pPr>
    </w:p>
    <w:p>
      <w:pPr>
        <w:snapToGrid w:val="0"/>
        <w:spacing w:line="300" w:lineRule="auto"/>
        <w:rPr>
          <w:rFonts w:hint="eastAsia" w:ascii="宋体" w:hAnsi="宋体"/>
          <w:szCs w:val="21"/>
        </w:rPr>
      </w:pPr>
      <w:r>
        <w:rPr>
          <w:rFonts w:hint="eastAsia" w:ascii="宋体" w:hAnsi="宋体"/>
          <w:szCs w:val="21"/>
        </w:rPr>
        <w:t>1、填表说明：本表一式二份，填表人、易制毒品管理员各一份。申购数量为实验室或项目组半年的使用量，对药品纯度、规格等有特殊要求的请附说明文件。</w:t>
      </w:r>
    </w:p>
    <w:p>
      <w:pPr>
        <w:snapToGrid w:val="0"/>
        <w:spacing w:line="300" w:lineRule="auto"/>
        <w:rPr>
          <w:rFonts w:hint="eastAsia" w:ascii="宋体" w:hAnsi="宋体"/>
          <w:szCs w:val="21"/>
        </w:rPr>
      </w:pPr>
      <w:r>
        <w:rPr>
          <w:rFonts w:hint="eastAsia" w:ascii="宋体" w:hAnsi="宋体"/>
          <w:szCs w:val="21"/>
        </w:rPr>
        <w:t>2、管理要求：① 实验室尽量不用易制毒化学品做实验，因特殊情况必须使用时，一定要通过学校正规渠道采购，建立台账，详细记录采购、使用、库存等情况，台账至少保存3年。② 实验室要指定专人保管易制毒化学品，当日不用的归橱上锁，确保存放、使用安全，达不到学校管理要求的实验室禁止使用。③ 因私自采购、使用、处置易制毒化学品而发生的问题，由当事人负责。3、学校易制毒品监督管理电话：68797  62378</w:t>
      </w:r>
    </w:p>
    <w:p>
      <w:pPr>
        <w:snapToGrid w:val="0"/>
        <w:spacing w:line="300" w:lineRule="auto"/>
        <w:rPr>
          <w:rFonts w:hint="eastAsia" w:ascii="宋体" w:hAnsi="宋体"/>
          <w:szCs w:val="21"/>
        </w:rPr>
      </w:pPr>
    </w:p>
    <w:p>
      <w:pPr>
        <w:jc w:val="center"/>
        <w:rPr>
          <w:rFonts w:hint="eastAsia"/>
          <w:sz w:val="32"/>
          <w:szCs w:val="40"/>
          <w:lang w:eastAsia="zh-CN"/>
        </w:rPr>
      </w:pPr>
      <w:r>
        <w:rPr>
          <w:rFonts w:hint="eastAsia"/>
          <w:sz w:val="32"/>
          <w:szCs w:val="40"/>
          <w:lang w:val="en-US" w:eastAsia="zh-CN"/>
        </w:rPr>
        <w:t>实验用品、化学药品购买使用登记表</w:t>
      </w:r>
    </w:p>
    <w:tbl>
      <w:tblPr>
        <w:tblStyle w:val="10"/>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262"/>
        <w:gridCol w:w="2509"/>
        <w:gridCol w:w="1654"/>
        <w:gridCol w:w="1501"/>
        <w:gridCol w:w="1025"/>
        <w:gridCol w:w="1395"/>
        <w:gridCol w:w="1727"/>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8" w:type="pct"/>
            <w:vAlign w:val="center"/>
          </w:tcPr>
          <w:p>
            <w:pPr>
              <w:jc w:val="center"/>
              <w:rPr>
                <w:rFonts w:hint="eastAsia"/>
                <w:sz w:val="24"/>
                <w:szCs w:val="32"/>
                <w:vertAlign w:val="baseline"/>
                <w:lang w:eastAsia="zh-CN"/>
              </w:rPr>
            </w:pPr>
            <w:r>
              <w:rPr>
                <w:rFonts w:hint="eastAsia"/>
                <w:sz w:val="24"/>
                <w:szCs w:val="32"/>
                <w:vertAlign w:val="baseline"/>
                <w:lang w:eastAsia="zh-CN"/>
              </w:rPr>
              <w:t>购买</w:t>
            </w:r>
          </w:p>
          <w:p>
            <w:pPr>
              <w:jc w:val="center"/>
              <w:rPr>
                <w:rFonts w:hint="eastAsia"/>
                <w:sz w:val="24"/>
                <w:szCs w:val="32"/>
                <w:vertAlign w:val="baseline"/>
                <w:lang w:eastAsia="zh-CN"/>
              </w:rPr>
            </w:pPr>
            <w:r>
              <w:rPr>
                <w:rFonts w:hint="eastAsia"/>
                <w:sz w:val="24"/>
                <w:szCs w:val="32"/>
                <w:vertAlign w:val="baseline"/>
                <w:lang w:eastAsia="zh-CN"/>
              </w:rPr>
              <w:t>日期</w:t>
            </w:r>
          </w:p>
        </w:tc>
        <w:tc>
          <w:tcPr>
            <w:tcW w:w="437" w:type="pct"/>
            <w:vAlign w:val="center"/>
          </w:tcPr>
          <w:p>
            <w:pPr>
              <w:jc w:val="center"/>
              <w:rPr>
                <w:rFonts w:hint="eastAsia"/>
                <w:sz w:val="24"/>
                <w:szCs w:val="32"/>
                <w:vertAlign w:val="baseline"/>
                <w:lang w:eastAsia="zh-CN"/>
              </w:rPr>
            </w:pPr>
            <w:r>
              <w:rPr>
                <w:rFonts w:hint="eastAsia"/>
                <w:sz w:val="24"/>
                <w:szCs w:val="32"/>
                <w:vertAlign w:val="baseline"/>
                <w:lang w:eastAsia="zh-CN"/>
              </w:rPr>
              <w:t>采购人</w:t>
            </w:r>
          </w:p>
        </w:tc>
        <w:tc>
          <w:tcPr>
            <w:tcW w:w="869" w:type="pct"/>
            <w:vAlign w:val="center"/>
          </w:tcPr>
          <w:p>
            <w:pPr>
              <w:jc w:val="center"/>
              <w:rPr>
                <w:rFonts w:hint="eastAsia"/>
                <w:sz w:val="24"/>
                <w:szCs w:val="32"/>
                <w:vertAlign w:val="baseline"/>
                <w:lang w:eastAsia="zh-CN"/>
              </w:rPr>
            </w:pPr>
            <w:r>
              <w:rPr>
                <w:rFonts w:hint="eastAsia"/>
                <w:sz w:val="24"/>
                <w:szCs w:val="32"/>
                <w:vertAlign w:val="baseline"/>
                <w:lang w:eastAsia="zh-CN"/>
              </w:rPr>
              <w:t>药品用品名称及规格</w:t>
            </w:r>
          </w:p>
        </w:tc>
        <w:tc>
          <w:tcPr>
            <w:tcW w:w="573" w:type="pct"/>
            <w:vAlign w:val="center"/>
          </w:tcPr>
          <w:p>
            <w:pPr>
              <w:jc w:val="center"/>
              <w:rPr>
                <w:rFonts w:hint="eastAsia"/>
                <w:sz w:val="24"/>
                <w:szCs w:val="32"/>
                <w:vertAlign w:val="baseline"/>
                <w:lang w:eastAsia="zh-CN"/>
              </w:rPr>
            </w:pPr>
            <w:r>
              <w:rPr>
                <w:rFonts w:hint="eastAsia"/>
                <w:sz w:val="24"/>
                <w:szCs w:val="32"/>
                <w:vertAlign w:val="baseline"/>
                <w:lang w:eastAsia="zh-CN"/>
              </w:rPr>
              <w:t>数量</w:t>
            </w:r>
          </w:p>
          <w:p>
            <w:pPr>
              <w:jc w:val="center"/>
              <w:rPr>
                <w:rFonts w:hint="eastAsia"/>
                <w:sz w:val="24"/>
                <w:szCs w:val="32"/>
                <w:vertAlign w:val="baseline"/>
                <w:lang w:eastAsia="zh-CN"/>
              </w:rPr>
            </w:pPr>
            <w:r>
              <w:rPr>
                <w:rFonts w:hint="eastAsia"/>
                <w:sz w:val="24"/>
                <w:szCs w:val="32"/>
                <w:vertAlign w:val="baseline"/>
                <w:lang w:eastAsia="zh-CN"/>
              </w:rPr>
              <w:t>（</w:t>
            </w:r>
            <w:r>
              <w:rPr>
                <w:rFonts w:hint="eastAsia"/>
                <w:sz w:val="24"/>
                <w:szCs w:val="32"/>
                <w:vertAlign w:val="baseline"/>
                <w:lang w:val="en-US" w:eastAsia="zh-CN"/>
              </w:rPr>
              <w:t>g或ml等</w:t>
            </w:r>
            <w:r>
              <w:rPr>
                <w:rFonts w:hint="eastAsia"/>
                <w:sz w:val="24"/>
                <w:szCs w:val="32"/>
                <w:vertAlign w:val="baseline"/>
                <w:lang w:eastAsia="zh-CN"/>
              </w:rPr>
              <w:t>）</w:t>
            </w:r>
          </w:p>
        </w:tc>
        <w:tc>
          <w:tcPr>
            <w:tcW w:w="520" w:type="pct"/>
            <w:vAlign w:val="center"/>
          </w:tcPr>
          <w:p>
            <w:pPr>
              <w:jc w:val="center"/>
              <w:rPr>
                <w:rFonts w:hint="eastAsia"/>
                <w:sz w:val="24"/>
                <w:szCs w:val="32"/>
                <w:vertAlign w:val="baseline"/>
                <w:lang w:eastAsia="zh-CN"/>
              </w:rPr>
            </w:pPr>
            <w:r>
              <w:rPr>
                <w:rFonts w:hint="eastAsia"/>
                <w:sz w:val="24"/>
                <w:szCs w:val="32"/>
                <w:vertAlign w:val="baseline"/>
                <w:lang w:eastAsia="zh-CN"/>
              </w:rPr>
              <w:t>存放地点</w:t>
            </w:r>
          </w:p>
          <w:p>
            <w:pPr>
              <w:jc w:val="center"/>
              <w:rPr>
                <w:rFonts w:hint="eastAsia"/>
                <w:sz w:val="24"/>
                <w:szCs w:val="32"/>
                <w:vertAlign w:val="baseline"/>
                <w:lang w:eastAsia="zh-CN"/>
              </w:rPr>
            </w:pPr>
            <w:r>
              <w:rPr>
                <w:rFonts w:hint="eastAsia"/>
                <w:sz w:val="24"/>
                <w:szCs w:val="32"/>
                <w:vertAlign w:val="baseline"/>
                <w:lang w:eastAsia="zh-CN"/>
              </w:rPr>
              <w:t>保管人</w:t>
            </w:r>
          </w:p>
        </w:tc>
        <w:tc>
          <w:tcPr>
            <w:tcW w:w="355" w:type="pct"/>
            <w:vAlign w:val="center"/>
          </w:tcPr>
          <w:p>
            <w:pPr>
              <w:jc w:val="center"/>
              <w:rPr>
                <w:rFonts w:hint="eastAsia"/>
                <w:sz w:val="24"/>
                <w:szCs w:val="32"/>
                <w:vertAlign w:val="baseline"/>
                <w:lang w:eastAsia="zh-CN"/>
              </w:rPr>
            </w:pPr>
            <w:r>
              <w:rPr>
                <w:rFonts w:hint="eastAsia"/>
                <w:sz w:val="24"/>
                <w:szCs w:val="32"/>
                <w:vertAlign w:val="baseline"/>
                <w:lang w:eastAsia="zh-CN"/>
              </w:rPr>
              <w:t>使用</w:t>
            </w:r>
          </w:p>
          <w:p>
            <w:pPr>
              <w:jc w:val="center"/>
              <w:rPr>
                <w:rFonts w:hint="eastAsia"/>
                <w:sz w:val="24"/>
                <w:szCs w:val="32"/>
                <w:vertAlign w:val="baseline"/>
                <w:lang w:eastAsia="zh-CN"/>
              </w:rPr>
            </w:pPr>
            <w:r>
              <w:rPr>
                <w:rFonts w:hint="eastAsia"/>
                <w:sz w:val="24"/>
                <w:szCs w:val="32"/>
                <w:vertAlign w:val="baseline"/>
                <w:lang w:eastAsia="zh-CN"/>
              </w:rPr>
              <w:t>日期</w:t>
            </w:r>
          </w:p>
        </w:tc>
        <w:tc>
          <w:tcPr>
            <w:tcW w:w="483" w:type="pct"/>
            <w:vAlign w:val="center"/>
          </w:tcPr>
          <w:p>
            <w:pPr>
              <w:jc w:val="center"/>
              <w:rPr>
                <w:rFonts w:hint="eastAsia"/>
                <w:sz w:val="24"/>
                <w:szCs w:val="32"/>
                <w:vertAlign w:val="baseline"/>
                <w:lang w:eastAsia="zh-CN"/>
              </w:rPr>
            </w:pPr>
            <w:r>
              <w:rPr>
                <w:rFonts w:hint="eastAsia"/>
                <w:sz w:val="24"/>
                <w:szCs w:val="32"/>
                <w:vertAlign w:val="baseline"/>
                <w:lang w:eastAsia="zh-CN"/>
              </w:rPr>
              <w:t>使用人</w:t>
            </w:r>
          </w:p>
        </w:tc>
        <w:tc>
          <w:tcPr>
            <w:tcW w:w="598" w:type="pct"/>
            <w:vAlign w:val="center"/>
          </w:tcPr>
          <w:p>
            <w:pPr>
              <w:jc w:val="center"/>
              <w:rPr>
                <w:rFonts w:hint="eastAsia"/>
                <w:sz w:val="24"/>
                <w:szCs w:val="32"/>
                <w:vertAlign w:val="baseline"/>
                <w:lang w:eastAsia="zh-CN"/>
              </w:rPr>
            </w:pPr>
            <w:r>
              <w:rPr>
                <w:rFonts w:hint="eastAsia"/>
                <w:sz w:val="24"/>
                <w:szCs w:val="32"/>
                <w:vertAlign w:val="baseline"/>
                <w:lang w:eastAsia="zh-CN"/>
              </w:rPr>
              <w:t>剩余数量</w:t>
            </w:r>
          </w:p>
          <w:p>
            <w:pPr>
              <w:jc w:val="center"/>
              <w:rPr>
                <w:rFonts w:hint="eastAsia"/>
                <w:sz w:val="24"/>
                <w:szCs w:val="32"/>
                <w:vertAlign w:val="baseline"/>
                <w:lang w:eastAsia="zh-CN"/>
              </w:rPr>
            </w:pPr>
            <w:r>
              <w:rPr>
                <w:rFonts w:hint="eastAsia"/>
                <w:sz w:val="24"/>
                <w:szCs w:val="32"/>
                <w:vertAlign w:val="baseline"/>
                <w:lang w:eastAsia="zh-CN"/>
              </w:rPr>
              <w:t>（</w:t>
            </w:r>
            <w:r>
              <w:rPr>
                <w:rFonts w:hint="eastAsia"/>
                <w:sz w:val="24"/>
                <w:szCs w:val="32"/>
                <w:vertAlign w:val="baseline"/>
                <w:lang w:val="en-US" w:eastAsia="zh-CN"/>
              </w:rPr>
              <w:t>g或ml等</w:t>
            </w:r>
            <w:r>
              <w:rPr>
                <w:rFonts w:hint="eastAsia"/>
                <w:sz w:val="24"/>
                <w:szCs w:val="32"/>
                <w:vertAlign w:val="baseline"/>
                <w:lang w:eastAsia="zh-CN"/>
              </w:rPr>
              <w:t>）</w:t>
            </w:r>
          </w:p>
        </w:tc>
        <w:tc>
          <w:tcPr>
            <w:tcW w:w="843" w:type="pct"/>
            <w:vAlign w:val="center"/>
          </w:tcPr>
          <w:p>
            <w:pPr>
              <w:jc w:val="center"/>
              <w:rPr>
                <w:rFonts w:hint="eastAsia"/>
                <w:sz w:val="24"/>
                <w:szCs w:val="32"/>
                <w:vertAlign w:val="baseline"/>
                <w:lang w:eastAsia="zh-CN"/>
              </w:rPr>
            </w:pPr>
            <w:r>
              <w:rPr>
                <w:rFonts w:hint="eastAsia"/>
                <w:sz w:val="24"/>
                <w:szCs w:val="32"/>
                <w:vertAlign w:val="baseline"/>
                <w:lang w:eastAsia="zh-CN"/>
              </w:rPr>
              <w:t>备</w:t>
            </w:r>
            <w:r>
              <w:rPr>
                <w:rFonts w:hint="eastAsia"/>
                <w:sz w:val="24"/>
                <w:szCs w:val="32"/>
                <w:vertAlign w:val="baseline"/>
                <w:lang w:val="en-US" w:eastAsia="zh-CN"/>
              </w:rPr>
              <w:t xml:space="preserve">   </w:t>
            </w:r>
            <w:r>
              <w:rPr>
                <w:rFonts w:hint="eastAsia"/>
                <w:sz w:val="24"/>
                <w:szCs w:val="32"/>
                <w:vertAlign w:val="baseline"/>
                <w:lang w:eastAsia="zh-CN"/>
              </w:rPr>
              <w:t>注</w:t>
            </w:r>
          </w:p>
          <w:p>
            <w:pPr>
              <w:jc w:val="center"/>
              <w:rPr>
                <w:rFonts w:hint="eastAsia"/>
                <w:sz w:val="24"/>
                <w:szCs w:val="32"/>
                <w:vertAlign w:val="baseline"/>
                <w:lang w:eastAsia="zh-CN"/>
              </w:rPr>
            </w:pPr>
            <w:r>
              <w:rPr>
                <w:rFonts w:hint="eastAsia"/>
                <w:sz w:val="24"/>
                <w:szCs w:val="32"/>
                <w:vertAlign w:val="baseline"/>
                <w:lang w:eastAsia="zh-CN"/>
              </w:rPr>
              <w:t>（用完、过期处理等）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600" w:lineRule="auto"/>
              <w:jc w:val="center"/>
              <w:rPr>
                <w:rFonts w:hint="eastAsia"/>
                <w:sz w:val="24"/>
                <w:szCs w:val="32"/>
                <w:vertAlign w:val="baseline"/>
                <w:lang w:eastAsia="zh-CN"/>
              </w:rPr>
            </w:pPr>
          </w:p>
        </w:tc>
        <w:tc>
          <w:tcPr>
            <w:tcW w:w="437" w:type="pct"/>
            <w:vAlign w:val="center"/>
          </w:tcPr>
          <w:p>
            <w:pPr>
              <w:spacing w:line="600" w:lineRule="auto"/>
              <w:jc w:val="center"/>
              <w:rPr>
                <w:rFonts w:hint="eastAsia"/>
                <w:sz w:val="24"/>
                <w:szCs w:val="32"/>
                <w:vertAlign w:val="baseline"/>
                <w:lang w:eastAsia="zh-CN"/>
              </w:rPr>
            </w:pPr>
          </w:p>
        </w:tc>
        <w:tc>
          <w:tcPr>
            <w:tcW w:w="869" w:type="pct"/>
            <w:vAlign w:val="center"/>
          </w:tcPr>
          <w:p>
            <w:pPr>
              <w:spacing w:line="600" w:lineRule="auto"/>
              <w:jc w:val="center"/>
              <w:rPr>
                <w:rFonts w:hint="eastAsia"/>
                <w:sz w:val="24"/>
                <w:szCs w:val="32"/>
                <w:vertAlign w:val="baseline"/>
                <w:lang w:eastAsia="zh-CN"/>
              </w:rPr>
            </w:pPr>
          </w:p>
        </w:tc>
        <w:tc>
          <w:tcPr>
            <w:tcW w:w="573" w:type="pct"/>
            <w:vAlign w:val="center"/>
          </w:tcPr>
          <w:p>
            <w:pPr>
              <w:spacing w:line="600" w:lineRule="auto"/>
              <w:jc w:val="center"/>
              <w:rPr>
                <w:rFonts w:hint="eastAsia"/>
                <w:sz w:val="24"/>
                <w:szCs w:val="32"/>
                <w:vertAlign w:val="baseline"/>
                <w:lang w:eastAsia="zh-CN"/>
              </w:rPr>
            </w:pPr>
          </w:p>
        </w:tc>
        <w:tc>
          <w:tcPr>
            <w:tcW w:w="520" w:type="pct"/>
            <w:vAlign w:val="center"/>
          </w:tcPr>
          <w:p>
            <w:pPr>
              <w:spacing w:line="600" w:lineRule="auto"/>
              <w:jc w:val="center"/>
              <w:rPr>
                <w:rFonts w:hint="eastAsia"/>
                <w:sz w:val="24"/>
                <w:szCs w:val="32"/>
                <w:vertAlign w:val="baseline"/>
                <w:lang w:eastAsia="zh-CN"/>
              </w:rPr>
            </w:pPr>
          </w:p>
        </w:tc>
        <w:tc>
          <w:tcPr>
            <w:tcW w:w="355" w:type="pct"/>
            <w:vAlign w:val="center"/>
          </w:tcPr>
          <w:p>
            <w:pPr>
              <w:spacing w:line="600" w:lineRule="auto"/>
              <w:jc w:val="center"/>
              <w:rPr>
                <w:rFonts w:hint="eastAsia"/>
                <w:sz w:val="24"/>
                <w:szCs w:val="32"/>
                <w:vertAlign w:val="baseline"/>
                <w:lang w:eastAsia="zh-CN"/>
              </w:rPr>
            </w:pPr>
          </w:p>
        </w:tc>
        <w:tc>
          <w:tcPr>
            <w:tcW w:w="483" w:type="pct"/>
            <w:vAlign w:val="center"/>
          </w:tcPr>
          <w:p>
            <w:pPr>
              <w:spacing w:line="600" w:lineRule="auto"/>
              <w:jc w:val="center"/>
              <w:rPr>
                <w:rFonts w:hint="eastAsia"/>
                <w:sz w:val="24"/>
                <w:szCs w:val="32"/>
                <w:vertAlign w:val="baseline"/>
                <w:lang w:eastAsia="zh-CN"/>
              </w:rPr>
            </w:pPr>
          </w:p>
        </w:tc>
        <w:tc>
          <w:tcPr>
            <w:tcW w:w="598" w:type="pct"/>
            <w:vAlign w:val="center"/>
          </w:tcPr>
          <w:p>
            <w:pPr>
              <w:spacing w:line="600" w:lineRule="auto"/>
              <w:jc w:val="center"/>
              <w:rPr>
                <w:rFonts w:hint="eastAsia"/>
                <w:sz w:val="24"/>
                <w:szCs w:val="32"/>
                <w:vertAlign w:val="baseline"/>
                <w:lang w:eastAsia="zh-CN"/>
              </w:rPr>
            </w:pPr>
          </w:p>
        </w:tc>
        <w:tc>
          <w:tcPr>
            <w:tcW w:w="843" w:type="pct"/>
            <w:vAlign w:val="center"/>
          </w:tcPr>
          <w:p>
            <w:pPr>
              <w:spacing w:line="600" w:lineRule="auto"/>
              <w:jc w:val="center"/>
              <w:rPr>
                <w:rFonts w:hint="eastAsia"/>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600" w:lineRule="auto"/>
              <w:jc w:val="center"/>
              <w:rPr>
                <w:rFonts w:hint="eastAsia"/>
                <w:sz w:val="24"/>
                <w:szCs w:val="32"/>
                <w:vertAlign w:val="baseline"/>
                <w:lang w:eastAsia="zh-CN"/>
              </w:rPr>
            </w:pPr>
          </w:p>
        </w:tc>
        <w:tc>
          <w:tcPr>
            <w:tcW w:w="437" w:type="pct"/>
            <w:vAlign w:val="center"/>
          </w:tcPr>
          <w:p>
            <w:pPr>
              <w:spacing w:line="600" w:lineRule="auto"/>
              <w:jc w:val="center"/>
              <w:rPr>
                <w:rFonts w:hint="eastAsia"/>
                <w:sz w:val="24"/>
                <w:szCs w:val="32"/>
                <w:vertAlign w:val="baseline"/>
                <w:lang w:eastAsia="zh-CN"/>
              </w:rPr>
            </w:pPr>
          </w:p>
        </w:tc>
        <w:tc>
          <w:tcPr>
            <w:tcW w:w="869" w:type="pct"/>
            <w:vAlign w:val="center"/>
          </w:tcPr>
          <w:p>
            <w:pPr>
              <w:spacing w:line="600" w:lineRule="auto"/>
              <w:jc w:val="center"/>
              <w:rPr>
                <w:rFonts w:hint="eastAsia"/>
                <w:sz w:val="24"/>
                <w:szCs w:val="32"/>
                <w:vertAlign w:val="baseline"/>
                <w:lang w:eastAsia="zh-CN"/>
              </w:rPr>
            </w:pPr>
          </w:p>
        </w:tc>
        <w:tc>
          <w:tcPr>
            <w:tcW w:w="573" w:type="pct"/>
            <w:vAlign w:val="center"/>
          </w:tcPr>
          <w:p>
            <w:pPr>
              <w:spacing w:line="600" w:lineRule="auto"/>
              <w:jc w:val="center"/>
              <w:rPr>
                <w:rFonts w:hint="eastAsia"/>
                <w:sz w:val="24"/>
                <w:szCs w:val="32"/>
                <w:vertAlign w:val="baseline"/>
                <w:lang w:eastAsia="zh-CN"/>
              </w:rPr>
            </w:pPr>
          </w:p>
        </w:tc>
        <w:tc>
          <w:tcPr>
            <w:tcW w:w="520" w:type="pct"/>
            <w:vAlign w:val="center"/>
          </w:tcPr>
          <w:p>
            <w:pPr>
              <w:spacing w:line="600" w:lineRule="auto"/>
              <w:jc w:val="center"/>
              <w:rPr>
                <w:rFonts w:hint="eastAsia"/>
                <w:sz w:val="24"/>
                <w:szCs w:val="32"/>
                <w:vertAlign w:val="baseline"/>
                <w:lang w:eastAsia="zh-CN"/>
              </w:rPr>
            </w:pPr>
          </w:p>
        </w:tc>
        <w:tc>
          <w:tcPr>
            <w:tcW w:w="355" w:type="pct"/>
            <w:vAlign w:val="center"/>
          </w:tcPr>
          <w:p>
            <w:pPr>
              <w:spacing w:line="600" w:lineRule="auto"/>
              <w:jc w:val="center"/>
              <w:rPr>
                <w:rFonts w:hint="eastAsia"/>
                <w:sz w:val="24"/>
                <w:szCs w:val="32"/>
                <w:vertAlign w:val="baseline"/>
                <w:lang w:eastAsia="zh-CN"/>
              </w:rPr>
            </w:pPr>
          </w:p>
        </w:tc>
        <w:tc>
          <w:tcPr>
            <w:tcW w:w="483" w:type="pct"/>
            <w:vAlign w:val="center"/>
          </w:tcPr>
          <w:p>
            <w:pPr>
              <w:spacing w:line="600" w:lineRule="auto"/>
              <w:jc w:val="center"/>
              <w:rPr>
                <w:rFonts w:hint="eastAsia"/>
                <w:sz w:val="24"/>
                <w:szCs w:val="32"/>
                <w:vertAlign w:val="baseline"/>
                <w:lang w:eastAsia="zh-CN"/>
              </w:rPr>
            </w:pPr>
          </w:p>
        </w:tc>
        <w:tc>
          <w:tcPr>
            <w:tcW w:w="598" w:type="pct"/>
            <w:vAlign w:val="center"/>
          </w:tcPr>
          <w:p>
            <w:pPr>
              <w:spacing w:line="600" w:lineRule="auto"/>
              <w:jc w:val="center"/>
              <w:rPr>
                <w:rFonts w:hint="eastAsia"/>
                <w:sz w:val="24"/>
                <w:szCs w:val="32"/>
                <w:vertAlign w:val="baseline"/>
                <w:lang w:eastAsia="zh-CN"/>
              </w:rPr>
            </w:pPr>
          </w:p>
        </w:tc>
        <w:tc>
          <w:tcPr>
            <w:tcW w:w="843" w:type="pct"/>
            <w:vAlign w:val="center"/>
          </w:tcPr>
          <w:p>
            <w:pPr>
              <w:spacing w:line="600" w:lineRule="auto"/>
              <w:jc w:val="center"/>
              <w:rPr>
                <w:rFonts w:hint="eastAsia"/>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600" w:lineRule="auto"/>
              <w:jc w:val="center"/>
              <w:rPr>
                <w:rFonts w:hint="eastAsia"/>
                <w:sz w:val="24"/>
                <w:szCs w:val="32"/>
                <w:vertAlign w:val="baseline"/>
                <w:lang w:eastAsia="zh-CN"/>
              </w:rPr>
            </w:pPr>
          </w:p>
        </w:tc>
        <w:tc>
          <w:tcPr>
            <w:tcW w:w="437" w:type="pct"/>
            <w:vAlign w:val="center"/>
          </w:tcPr>
          <w:p>
            <w:pPr>
              <w:spacing w:line="600" w:lineRule="auto"/>
              <w:jc w:val="center"/>
              <w:rPr>
                <w:rFonts w:hint="eastAsia"/>
                <w:sz w:val="24"/>
                <w:szCs w:val="32"/>
                <w:vertAlign w:val="baseline"/>
                <w:lang w:eastAsia="zh-CN"/>
              </w:rPr>
            </w:pPr>
          </w:p>
        </w:tc>
        <w:tc>
          <w:tcPr>
            <w:tcW w:w="869" w:type="pct"/>
            <w:vAlign w:val="center"/>
          </w:tcPr>
          <w:p>
            <w:pPr>
              <w:spacing w:line="600" w:lineRule="auto"/>
              <w:jc w:val="center"/>
              <w:rPr>
                <w:rFonts w:hint="eastAsia"/>
                <w:sz w:val="24"/>
                <w:szCs w:val="32"/>
                <w:vertAlign w:val="baseline"/>
                <w:lang w:eastAsia="zh-CN"/>
              </w:rPr>
            </w:pPr>
          </w:p>
        </w:tc>
        <w:tc>
          <w:tcPr>
            <w:tcW w:w="573" w:type="pct"/>
            <w:vAlign w:val="center"/>
          </w:tcPr>
          <w:p>
            <w:pPr>
              <w:spacing w:line="600" w:lineRule="auto"/>
              <w:jc w:val="center"/>
              <w:rPr>
                <w:rFonts w:hint="eastAsia"/>
                <w:sz w:val="24"/>
                <w:szCs w:val="32"/>
                <w:vertAlign w:val="baseline"/>
                <w:lang w:eastAsia="zh-CN"/>
              </w:rPr>
            </w:pPr>
          </w:p>
        </w:tc>
        <w:tc>
          <w:tcPr>
            <w:tcW w:w="520" w:type="pct"/>
            <w:vAlign w:val="center"/>
          </w:tcPr>
          <w:p>
            <w:pPr>
              <w:spacing w:line="600" w:lineRule="auto"/>
              <w:jc w:val="center"/>
              <w:rPr>
                <w:rFonts w:hint="eastAsia"/>
                <w:sz w:val="24"/>
                <w:szCs w:val="32"/>
                <w:vertAlign w:val="baseline"/>
                <w:lang w:eastAsia="zh-CN"/>
              </w:rPr>
            </w:pPr>
          </w:p>
        </w:tc>
        <w:tc>
          <w:tcPr>
            <w:tcW w:w="355" w:type="pct"/>
            <w:vAlign w:val="center"/>
          </w:tcPr>
          <w:p>
            <w:pPr>
              <w:spacing w:line="600" w:lineRule="auto"/>
              <w:jc w:val="center"/>
              <w:rPr>
                <w:rFonts w:hint="eastAsia"/>
                <w:sz w:val="24"/>
                <w:szCs w:val="32"/>
                <w:vertAlign w:val="baseline"/>
                <w:lang w:eastAsia="zh-CN"/>
              </w:rPr>
            </w:pPr>
          </w:p>
        </w:tc>
        <w:tc>
          <w:tcPr>
            <w:tcW w:w="483" w:type="pct"/>
            <w:vAlign w:val="center"/>
          </w:tcPr>
          <w:p>
            <w:pPr>
              <w:spacing w:line="600" w:lineRule="auto"/>
              <w:jc w:val="center"/>
              <w:rPr>
                <w:rFonts w:hint="eastAsia"/>
                <w:sz w:val="24"/>
                <w:szCs w:val="32"/>
                <w:vertAlign w:val="baseline"/>
                <w:lang w:eastAsia="zh-CN"/>
              </w:rPr>
            </w:pPr>
          </w:p>
        </w:tc>
        <w:tc>
          <w:tcPr>
            <w:tcW w:w="598" w:type="pct"/>
            <w:vAlign w:val="center"/>
          </w:tcPr>
          <w:p>
            <w:pPr>
              <w:spacing w:line="600" w:lineRule="auto"/>
              <w:jc w:val="center"/>
              <w:rPr>
                <w:rFonts w:hint="eastAsia"/>
                <w:sz w:val="24"/>
                <w:szCs w:val="32"/>
                <w:vertAlign w:val="baseline"/>
                <w:lang w:eastAsia="zh-CN"/>
              </w:rPr>
            </w:pPr>
          </w:p>
        </w:tc>
        <w:tc>
          <w:tcPr>
            <w:tcW w:w="843" w:type="pct"/>
            <w:vAlign w:val="center"/>
          </w:tcPr>
          <w:p>
            <w:pPr>
              <w:spacing w:line="600" w:lineRule="auto"/>
              <w:jc w:val="center"/>
              <w:rPr>
                <w:rFonts w:hint="eastAsia"/>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600" w:lineRule="auto"/>
              <w:jc w:val="center"/>
              <w:rPr>
                <w:rFonts w:hint="eastAsia"/>
                <w:sz w:val="24"/>
                <w:szCs w:val="32"/>
                <w:vertAlign w:val="baseline"/>
                <w:lang w:eastAsia="zh-CN"/>
              </w:rPr>
            </w:pPr>
          </w:p>
        </w:tc>
        <w:tc>
          <w:tcPr>
            <w:tcW w:w="437" w:type="pct"/>
            <w:vAlign w:val="center"/>
          </w:tcPr>
          <w:p>
            <w:pPr>
              <w:spacing w:line="600" w:lineRule="auto"/>
              <w:jc w:val="center"/>
              <w:rPr>
                <w:rFonts w:hint="eastAsia"/>
                <w:sz w:val="24"/>
                <w:szCs w:val="32"/>
                <w:vertAlign w:val="baseline"/>
                <w:lang w:eastAsia="zh-CN"/>
              </w:rPr>
            </w:pPr>
          </w:p>
        </w:tc>
        <w:tc>
          <w:tcPr>
            <w:tcW w:w="869" w:type="pct"/>
            <w:vAlign w:val="center"/>
          </w:tcPr>
          <w:p>
            <w:pPr>
              <w:spacing w:line="600" w:lineRule="auto"/>
              <w:jc w:val="center"/>
              <w:rPr>
                <w:rFonts w:hint="eastAsia"/>
                <w:sz w:val="24"/>
                <w:szCs w:val="32"/>
                <w:vertAlign w:val="baseline"/>
                <w:lang w:eastAsia="zh-CN"/>
              </w:rPr>
            </w:pPr>
          </w:p>
        </w:tc>
        <w:tc>
          <w:tcPr>
            <w:tcW w:w="573" w:type="pct"/>
            <w:vAlign w:val="center"/>
          </w:tcPr>
          <w:p>
            <w:pPr>
              <w:spacing w:line="600" w:lineRule="auto"/>
              <w:jc w:val="center"/>
              <w:rPr>
                <w:rFonts w:hint="eastAsia"/>
                <w:sz w:val="24"/>
                <w:szCs w:val="32"/>
                <w:vertAlign w:val="baseline"/>
                <w:lang w:eastAsia="zh-CN"/>
              </w:rPr>
            </w:pPr>
          </w:p>
        </w:tc>
        <w:tc>
          <w:tcPr>
            <w:tcW w:w="520" w:type="pct"/>
            <w:vAlign w:val="center"/>
          </w:tcPr>
          <w:p>
            <w:pPr>
              <w:spacing w:line="600" w:lineRule="auto"/>
              <w:jc w:val="center"/>
              <w:rPr>
                <w:rFonts w:hint="eastAsia"/>
                <w:sz w:val="24"/>
                <w:szCs w:val="32"/>
                <w:vertAlign w:val="baseline"/>
                <w:lang w:eastAsia="zh-CN"/>
              </w:rPr>
            </w:pPr>
          </w:p>
        </w:tc>
        <w:tc>
          <w:tcPr>
            <w:tcW w:w="355" w:type="pct"/>
            <w:vAlign w:val="center"/>
          </w:tcPr>
          <w:p>
            <w:pPr>
              <w:spacing w:line="600" w:lineRule="auto"/>
              <w:jc w:val="center"/>
              <w:rPr>
                <w:rFonts w:hint="eastAsia"/>
                <w:sz w:val="24"/>
                <w:szCs w:val="32"/>
                <w:vertAlign w:val="baseline"/>
                <w:lang w:eastAsia="zh-CN"/>
              </w:rPr>
            </w:pPr>
          </w:p>
        </w:tc>
        <w:tc>
          <w:tcPr>
            <w:tcW w:w="483" w:type="pct"/>
            <w:vAlign w:val="center"/>
          </w:tcPr>
          <w:p>
            <w:pPr>
              <w:spacing w:line="600" w:lineRule="auto"/>
              <w:jc w:val="center"/>
              <w:rPr>
                <w:rFonts w:hint="eastAsia"/>
                <w:sz w:val="24"/>
                <w:szCs w:val="32"/>
                <w:vertAlign w:val="baseline"/>
                <w:lang w:eastAsia="zh-CN"/>
              </w:rPr>
            </w:pPr>
          </w:p>
        </w:tc>
        <w:tc>
          <w:tcPr>
            <w:tcW w:w="598" w:type="pct"/>
            <w:vAlign w:val="center"/>
          </w:tcPr>
          <w:p>
            <w:pPr>
              <w:spacing w:line="600" w:lineRule="auto"/>
              <w:jc w:val="center"/>
              <w:rPr>
                <w:rFonts w:hint="eastAsia"/>
                <w:sz w:val="24"/>
                <w:szCs w:val="32"/>
                <w:vertAlign w:val="baseline"/>
                <w:lang w:eastAsia="zh-CN"/>
              </w:rPr>
            </w:pPr>
          </w:p>
        </w:tc>
        <w:tc>
          <w:tcPr>
            <w:tcW w:w="843" w:type="pct"/>
            <w:vAlign w:val="center"/>
          </w:tcPr>
          <w:p>
            <w:pPr>
              <w:spacing w:line="600" w:lineRule="auto"/>
              <w:jc w:val="center"/>
              <w:rPr>
                <w:rFonts w:hint="eastAsia"/>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600" w:lineRule="auto"/>
              <w:jc w:val="center"/>
              <w:rPr>
                <w:rFonts w:hint="eastAsia"/>
                <w:sz w:val="24"/>
                <w:szCs w:val="32"/>
                <w:vertAlign w:val="baseline"/>
                <w:lang w:eastAsia="zh-CN"/>
              </w:rPr>
            </w:pPr>
          </w:p>
        </w:tc>
        <w:tc>
          <w:tcPr>
            <w:tcW w:w="437" w:type="pct"/>
            <w:vAlign w:val="center"/>
          </w:tcPr>
          <w:p>
            <w:pPr>
              <w:spacing w:line="600" w:lineRule="auto"/>
              <w:jc w:val="center"/>
              <w:rPr>
                <w:rFonts w:hint="eastAsia"/>
                <w:sz w:val="24"/>
                <w:szCs w:val="32"/>
                <w:vertAlign w:val="baseline"/>
                <w:lang w:eastAsia="zh-CN"/>
              </w:rPr>
            </w:pPr>
          </w:p>
        </w:tc>
        <w:tc>
          <w:tcPr>
            <w:tcW w:w="869" w:type="pct"/>
            <w:vAlign w:val="center"/>
          </w:tcPr>
          <w:p>
            <w:pPr>
              <w:spacing w:line="600" w:lineRule="auto"/>
              <w:jc w:val="center"/>
              <w:rPr>
                <w:rFonts w:hint="eastAsia"/>
                <w:sz w:val="24"/>
                <w:szCs w:val="32"/>
                <w:vertAlign w:val="baseline"/>
                <w:lang w:eastAsia="zh-CN"/>
              </w:rPr>
            </w:pPr>
          </w:p>
        </w:tc>
        <w:tc>
          <w:tcPr>
            <w:tcW w:w="573" w:type="pct"/>
            <w:vAlign w:val="center"/>
          </w:tcPr>
          <w:p>
            <w:pPr>
              <w:spacing w:line="600" w:lineRule="auto"/>
              <w:jc w:val="center"/>
              <w:rPr>
                <w:rFonts w:hint="eastAsia"/>
                <w:sz w:val="24"/>
                <w:szCs w:val="32"/>
                <w:vertAlign w:val="baseline"/>
                <w:lang w:eastAsia="zh-CN"/>
              </w:rPr>
            </w:pPr>
          </w:p>
        </w:tc>
        <w:tc>
          <w:tcPr>
            <w:tcW w:w="520" w:type="pct"/>
            <w:vAlign w:val="center"/>
          </w:tcPr>
          <w:p>
            <w:pPr>
              <w:spacing w:line="600" w:lineRule="auto"/>
              <w:jc w:val="center"/>
              <w:rPr>
                <w:rFonts w:hint="eastAsia"/>
                <w:sz w:val="24"/>
                <w:szCs w:val="32"/>
                <w:vertAlign w:val="baseline"/>
                <w:lang w:eastAsia="zh-CN"/>
              </w:rPr>
            </w:pPr>
          </w:p>
        </w:tc>
        <w:tc>
          <w:tcPr>
            <w:tcW w:w="355" w:type="pct"/>
            <w:vAlign w:val="center"/>
          </w:tcPr>
          <w:p>
            <w:pPr>
              <w:spacing w:line="600" w:lineRule="auto"/>
              <w:jc w:val="center"/>
              <w:rPr>
                <w:rFonts w:hint="eastAsia"/>
                <w:sz w:val="24"/>
                <w:szCs w:val="32"/>
                <w:vertAlign w:val="baseline"/>
                <w:lang w:eastAsia="zh-CN"/>
              </w:rPr>
            </w:pPr>
          </w:p>
        </w:tc>
        <w:tc>
          <w:tcPr>
            <w:tcW w:w="483" w:type="pct"/>
            <w:vAlign w:val="center"/>
          </w:tcPr>
          <w:p>
            <w:pPr>
              <w:spacing w:line="600" w:lineRule="auto"/>
              <w:jc w:val="center"/>
              <w:rPr>
                <w:rFonts w:hint="eastAsia"/>
                <w:sz w:val="24"/>
                <w:szCs w:val="32"/>
                <w:vertAlign w:val="baseline"/>
                <w:lang w:eastAsia="zh-CN"/>
              </w:rPr>
            </w:pPr>
          </w:p>
        </w:tc>
        <w:tc>
          <w:tcPr>
            <w:tcW w:w="598" w:type="pct"/>
            <w:vAlign w:val="center"/>
          </w:tcPr>
          <w:p>
            <w:pPr>
              <w:spacing w:line="600" w:lineRule="auto"/>
              <w:jc w:val="center"/>
              <w:rPr>
                <w:rFonts w:hint="eastAsia"/>
                <w:sz w:val="24"/>
                <w:szCs w:val="32"/>
                <w:vertAlign w:val="baseline"/>
                <w:lang w:eastAsia="zh-CN"/>
              </w:rPr>
            </w:pPr>
          </w:p>
        </w:tc>
        <w:tc>
          <w:tcPr>
            <w:tcW w:w="843" w:type="pct"/>
            <w:vAlign w:val="center"/>
          </w:tcPr>
          <w:p>
            <w:pPr>
              <w:spacing w:line="600" w:lineRule="auto"/>
              <w:jc w:val="center"/>
              <w:rPr>
                <w:rFonts w:hint="eastAsia"/>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600" w:lineRule="auto"/>
              <w:jc w:val="center"/>
              <w:rPr>
                <w:rFonts w:hint="eastAsia"/>
                <w:sz w:val="24"/>
                <w:szCs w:val="32"/>
                <w:vertAlign w:val="baseline"/>
                <w:lang w:eastAsia="zh-CN"/>
              </w:rPr>
            </w:pPr>
          </w:p>
        </w:tc>
        <w:tc>
          <w:tcPr>
            <w:tcW w:w="437" w:type="pct"/>
            <w:vAlign w:val="center"/>
          </w:tcPr>
          <w:p>
            <w:pPr>
              <w:spacing w:line="600" w:lineRule="auto"/>
              <w:jc w:val="center"/>
              <w:rPr>
                <w:rFonts w:hint="eastAsia"/>
                <w:sz w:val="24"/>
                <w:szCs w:val="32"/>
                <w:vertAlign w:val="baseline"/>
                <w:lang w:eastAsia="zh-CN"/>
              </w:rPr>
            </w:pPr>
          </w:p>
        </w:tc>
        <w:tc>
          <w:tcPr>
            <w:tcW w:w="869" w:type="pct"/>
            <w:vAlign w:val="center"/>
          </w:tcPr>
          <w:p>
            <w:pPr>
              <w:spacing w:line="600" w:lineRule="auto"/>
              <w:jc w:val="center"/>
              <w:rPr>
                <w:rFonts w:hint="eastAsia"/>
                <w:sz w:val="24"/>
                <w:szCs w:val="32"/>
                <w:vertAlign w:val="baseline"/>
                <w:lang w:eastAsia="zh-CN"/>
              </w:rPr>
            </w:pPr>
          </w:p>
        </w:tc>
        <w:tc>
          <w:tcPr>
            <w:tcW w:w="573" w:type="pct"/>
            <w:vAlign w:val="center"/>
          </w:tcPr>
          <w:p>
            <w:pPr>
              <w:spacing w:line="600" w:lineRule="auto"/>
              <w:jc w:val="center"/>
              <w:rPr>
                <w:rFonts w:hint="eastAsia"/>
                <w:sz w:val="24"/>
                <w:szCs w:val="32"/>
                <w:vertAlign w:val="baseline"/>
                <w:lang w:eastAsia="zh-CN"/>
              </w:rPr>
            </w:pPr>
          </w:p>
        </w:tc>
        <w:tc>
          <w:tcPr>
            <w:tcW w:w="520" w:type="pct"/>
            <w:vAlign w:val="center"/>
          </w:tcPr>
          <w:p>
            <w:pPr>
              <w:spacing w:line="600" w:lineRule="auto"/>
              <w:jc w:val="center"/>
              <w:rPr>
                <w:rFonts w:hint="eastAsia"/>
                <w:sz w:val="24"/>
                <w:szCs w:val="32"/>
                <w:vertAlign w:val="baseline"/>
                <w:lang w:eastAsia="zh-CN"/>
              </w:rPr>
            </w:pPr>
          </w:p>
        </w:tc>
        <w:tc>
          <w:tcPr>
            <w:tcW w:w="355" w:type="pct"/>
            <w:vAlign w:val="center"/>
          </w:tcPr>
          <w:p>
            <w:pPr>
              <w:spacing w:line="600" w:lineRule="auto"/>
              <w:jc w:val="center"/>
              <w:rPr>
                <w:rFonts w:hint="eastAsia"/>
                <w:sz w:val="24"/>
                <w:szCs w:val="32"/>
                <w:vertAlign w:val="baseline"/>
                <w:lang w:eastAsia="zh-CN"/>
              </w:rPr>
            </w:pPr>
          </w:p>
        </w:tc>
        <w:tc>
          <w:tcPr>
            <w:tcW w:w="483" w:type="pct"/>
            <w:vAlign w:val="center"/>
          </w:tcPr>
          <w:p>
            <w:pPr>
              <w:spacing w:line="600" w:lineRule="auto"/>
              <w:jc w:val="center"/>
              <w:rPr>
                <w:rFonts w:hint="eastAsia"/>
                <w:sz w:val="24"/>
                <w:szCs w:val="32"/>
                <w:vertAlign w:val="baseline"/>
                <w:lang w:eastAsia="zh-CN"/>
              </w:rPr>
            </w:pPr>
          </w:p>
        </w:tc>
        <w:tc>
          <w:tcPr>
            <w:tcW w:w="598" w:type="pct"/>
            <w:vAlign w:val="center"/>
          </w:tcPr>
          <w:p>
            <w:pPr>
              <w:spacing w:line="600" w:lineRule="auto"/>
              <w:jc w:val="center"/>
              <w:rPr>
                <w:rFonts w:hint="eastAsia"/>
                <w:sz w:val="24"/>
                <w:szCs w:val="32"/>
                <w:vertAlign w:val="baseline"/>
                <w:lang w:eastAsia="zh-CN"/>
              </w:rPr>
            </w:pPr>
          </w:p>
        </w:tc>
        <w:tc>
          <w:tcPr>
            <w:tcW w:w="843" w:type="pct"/>
            <w:vAlign w:val="center"/>
          </w:tcPr>
          <w:p>
            <w:pPr>
              <w:spacing w:line="600" w:lineRule="auto"/>
              <w:jc w:val="center"/>
              <w:rPr>
                <w:rFonts w:hint="eastAsia"/>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600" w:lineRule="auto"/>
              <w:jc w:val="center"/>
              <w:rPr>
                <w:rFonts w:hint="eastAsia"/>
                <w:sz w:val="24"/>
                <w:szCs w:val="32"/>
                <w:vertAlign w:val="baseline"/>
                <w:lang w:eastAsia="zh-CN"/>
              </w:rPr>
            </w:pPr>
          </w:p>
        </w:tc>
        <w:tc>
          <w:tcPr>
            <w:tcW w:w="437" w:type="pct"/>
            <w:vAlign w:val="center"/>
          </w:tcPr>
          <w:p>
            <w:pPr>
              <w:spacing w:line="600" w:lineRule="auto"/>
              <w:jc w:val="center"/>
              <w:rPr>
                <w:rFonts w:hint="eastAsia"/>
                <w:sz w:val="24"/>
                <w:szCs w:val="32"/>
                <w:vertAlign w:val="baseline"/>
                <w:lang w:eastAsia="zh-CN"/>
              </w:rPr>
            </w:pPr>
          </w:p>
        </w:tc>
        <w:tc>
          <w:tcPr>
            <w:tcW w:w="869" w:type="pct"/>
            <w:vAlign w:val="center"/>
          </w:tcPr>
          <w:p>
            <w:pPr>
              <w:spacing w:line="600" w:lineRule="auto"/>
              <w:jc w:val="center"/>
              <w:rPr>
                <w:rFonts w:hint="eastAsia"/>
                <w:sz w:val="24"/>
                <w:szCs w:val="32"/>
                <w:vertAlign w:val="baseline"/>
                <w:lang w:eastAsia="zh-CN"/>
              </w:rPr>
            </w:pPr>
          </w:p>
        </w:tc>
        <w:tc>
          <w:tcPr>
            <w:tcW w:w="573" w:type="pct"/>
            <w:vAlign w:val="center"/>
          </w:tcPr>
          <w:p>
            <w:pPr>
              <w:spacing w:line="600" w:lineRule="auto"/>
              <w:jc w:val="center"/>
              <w:rPr>
                <w:rFonts w:hint="eastAsia"/>
                <w:sz w:val="24"/>
                <w:szCs w:val="32"/>
                <w:vertAlign w:val="baseline"/>
                <w:lang w:eastAsia="zh-CN"/>
              </w:rPr>
            </w:pPr>
          </w:p>
        </w:tc>
        <w:tc>
          <w:tcPr>
            <w:tcW w:w="520" w:type="pct"/>
            <w:vAlign w:val="center"/>
          </w:tcPr>
          <w:p>
            <w:pPr>
              <w:spacing w:line="600" w:lineRule="auto"/>
              <w:jc w:val="center"/>
              <w:rPr>
                <w:rFonts w:hint="eastAsia"/>
                <w:sz w:val="24"/>
                <w:szCs w:val="32"/>
                <w:vertAlign w:val="baseline"/>
                <w:lang w:eastAsia="zh-CN"/>
              </w:rPr>
            </w:pPr>
          </w:p>
        </w:tc>
        <w:tc>
          <w:tcPr>
            <w:tcW w:w="355" w:type="pct"/>
            <w:vAlign w:val="center"/>
          </w:tcPr>
          <w:p>
            <w:pPr>
              <w:spacing w:line="600" w:lineRule="auto"/>
              <w:jc w:val="center"/>
              <w:rPr>
                <w:rFonts w:hint="eastAsia"/>
                <w:sz w:val="24"/>
                <w:szCs w:val="32"/>
                <w:vertAlign w:val="baseline"/>
                <w:lang w:eastAsia="zh-CN"/>
              </w:rPr>
            </w:pPr>
          </w:p>
        </w:tc>
        <w:tc>
          <w:tcPr>
            <w:tcW w:w="483" w:type="pct"/>
            <w:vAlign w:val="center"/>
          </w:tcPr>
          <w:p>
            <w:pPr>
              <w:spacing w:line="600" w:lineRule="auto"/>
              <w:jc w:val="center"/>
              <w:rPr>
                <w:rFonts w:hint="eastAsia"/>
                <w:sz w:val="24"/>
                <w:szCs w:val="32"/>
                <w:vertAlign w:val="baseline"/>
                <w:lang w:eastAsia="zh-CN"/>
              </w:rPr>
            </w:pPr>
          </w:p>
        </w:tc>
        <w:tc>
          <w:tcPr>
            <w:tcW w:w="598" w:type="pct"/>
            <w:vAlign w:val="center"/>
          </w:tcPr>
          <w:p>
            <w:pPr>
              <w:spacing w:line="600" w:lineRule="auto"/>
              <w:jc w:val="center"/>
              <w:rPr>
                <w:rFonts w:hint="eastAsia"/>
                <w:sz w:val="24"/>
                <w:szCs w:val="32"/>
                <w:vertAlign w:val="baseline"/>
                <w:lang w:eastAsia="zh-CN"/>
              </w:rPr>
            </w:pPr>
          </w:p>
        </w:tc>
        <w:tc>
          <w:tcPr>
            <w:tcW w:w="843" w:type="pct"/>
            <w:vAlign w:val="center"/>
          </w:tcPr>
          <w:p>
            <w:pPr>
              <w:spacing w:line="600" w:lineRule="auto"/>
              <w:jc w:val="center"/>
              <w:rPr>
                <w:rFonts w:hint="eastAsia"/>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600" w:lineRule="auto"/>
              <w:jc w:val="center"/>
              <w:rPr>
                <w:rFonts w:hint="eastAsia"/>
                <w:sz w:val="24"/>
                <w:szCs w:val="32"/>
                <w:vertAlign w:val="baseline"/>
                <w:lang w:eastAsia="zh-CN"/>
              </w:rPr>
            </w:pPr>
          </w:p>
        </w:tc>
        <w:tc>
          <w:tcPr>
            <w:tcW w:w="437" w:type="pct"/>
            <w:vAlign w:val="center"/>
          </w:tcPr>
          <w:p>
            <w:pPr>
              <w:spacing w:line="600" w:lineRule="auto"/>
              <w:jc w:val="center"/>
              <w:rPr>
                <w:rFonts w:hint="eastAsia"/>
                <w:sz w:val="24"/>
                <w:szCs w:val="32"/>
                <w:vertAlign w:val="baseline"/>
                <w:lang w:eastAsia="zh-CN"/>
              </w:rPr>
            </w:pPr>
          </w:p>
        </w:tc>
        <w:tc>
          <w:tcPr>
            <w:tcW w:w="869" w:type="pct"/>
            <w:vAlign w:val="center"/>
          </w:tcPr>
          <w:p>
            <w:pPr>
              <w:spacing w:line="600" w:lineRule="auto"/>
              <w:jc w:val="center"/>
              <w:rPr>
                <w:rFonts w:hint="eastAsia"/>
                <w:sz w:val="24"/>
                <w:szCs w:val="32"/>
                <w:vertAlign w:val="baseline"/>
                <w:lang w:eastAsia="zh-CN"/>
              </w:rPr>
            </w:pPr>
          </w:p>
        </w:tc>
        <w:tc>
          <w:tcPr>
            <w:tcW w:w="573" w:type="pct"/>
            <w:vAlign w:val="center"/>
          </w:tcPr>
          <w:p>
            <w:pPr>
              <w:spacing w:line="600" w:lineRule="auto"/>
              <w:jc w:val="center"/>
              <w:rPr>
                <w:rFonts w:hint="eastAsia"/>
                <w:sz w:val="24"/>
                <w:szCs w:val="32"/>
                <w:vertAlign w:val="baseline"/>
                <w:lang w:eastAsia="zh-CN"/>
              </w:rPr>
            </w:pPr>
          </w:p>
        </w:tc>
        <w:tc>
          <w:tcPr>
            <w:tcW w:w="520" w:type="pct"/>
            <w:vAlign w:val="center"/>
          </w:tcPr>
          <w:p>
            <w:pPr>
              <w:spacing w:line="600" w:lineRule="auto"/>
              <w:jc w:val="center"/>
              <w:rPr>
                <w:rFonts w:hint="eastAsia"/>
                <w:sz w:val="24"/>
                <w:szCs w:val="32"/>
                <w:vertAlign w:val="baseline"/>
                <w:lang w:eastAsia="zh-CN"/>
              </w:rPr>
            </w:pPr>
          </w:p>
        </w:tc>
        <w:tc>
          <w:tcPr>
            <w:tcW w:w="355" w:type="pct"/>
            <w:vAlign w:val="center"/>
          </w:tcPr>
          <w:p>
            <w:pPr>
              <w:spacing w:line="600" w:lineRule="auto"/>
              <w:jc w:val="center"/>
              <w:rPr>
                <w:rFonts w:hint="eastAsia"/>
                <w:sz w:val="24"/>
                <w:szCs w:val="32"/>
                <w:vertAlign w:val="baseline"/>
                <w:lang w:eastAsia="zh-CN"/>
              </w:rPr>
            </w:pPr>
          </w:p>
        </w:tc>
        <w:tc>
          <w:tcPr>
            <w:tcW w:w="483" w:type="pct"/>
            <w:vAlign w:val="center"/>
          </w:tcPr>
          <w:p>
            <w:pPr>
              <w:spacing w:line="600" w:lineRule="auto"/>
              <w:jc w:val="center"/>
              <w:rPr>
                <w:rFonts w:hint="eastAsia"/>
                <w:sz w:val="24"/>
                <w:szCs w:val="32"/>
                <w:vertAlign w:val="baseline"/>
                <w:lang w:eastAsia="zh-CN"/>
              </w:rPr>
            </w:pPr>
          </w:p>
        </w:tc>
        <w:tc>
          <w:tcPr>
            <w:tcW w:w="598" w:type="pct"/>
            <w:vAlign w:val="center"/>
          </w:tcPr>
          <w:p>
            <w:pPr>
              <w:spacing w:line="600" w:lineRule="auto"/>
              <w:jc w:val="center"/>
              <w:rPr>
                <w:rFonts w:hint="eastAsia"/>
                <w:sz w:val="24"/>
                <w:szCs w:val="32"/>
                <w:vertAlign w:val="baseline"/>
                <w:lang w:eastAsia="zh-CN"/>
              </w:rPr>
            </w:pPr>
          </w:p>
        </w:tc>
        <w:tc>
          <w:tcPr>
            <w:tcW w:w="843" w:type="pct"/>
            <w:vAlign w:val="center"/>
          </w:tcPr>
          <w:p>
            <w:pPr>
              <w:spacing w:line="600" w:lineRule="auto"/>
              <w:jc w:val="center"/>
              <w:rPr>
                <w:rFonts w:hint="eastAsia"/>
                <w:sz w:val="24"/>
                <w:szCs w:val="32"/>
                <w:vertAlign w:val="baseline"/>
                <w:lang w:eastAsia="zh-CN"/>
              </w:rPr>
            </w:pPr>
          </w:p>
        </w:tc>
      </w:tr>
    </w:tbl>
    <w:p>
      <w:pPr>
        <w:snapToGrid w:val="0"/>
        <w:spacing w:line="300" w:lineRule="auto"/>
        <w:rPr>
          <w:rFonts w:hint="eastAsia" w:ascii="宋体" w:hAnsi="宋体"/>
          <w:szCs w:val="21"/>
          <w:lang w:eastAsia="zh-CN"/>
        </w:rPr>
        <w:sectPr>
          <w:headerReference r:id="rId4" w:type="default"/>
          <w:footerReference r:id="rId5" w:type="default"/>
          <w:pgSz w:w="16838" w:h="11906" w:orient="landscape"/>
          <w:pgMar w:top="1689" w:right="1327" w:bottom="1576" w:left="1270" w:header="851" w:footer="992" w:gutter="0"/>
          <w:cols w:space="425" w:num="1"/>
          <w:docGrid w:type="lines" w:linePitch="312" w:charSpace="0"/>
        </w:sectPr>
      </w:pPr>
      <w:r>
        <w:rPr>
          <w:rFonts w:hint="eastAsia"/>
          <w:lang w:eastAsia="zh-CN"/>
        </w:rPr>
        <w:t>注：</w:t>
      </w:r>
      <w:r>
        <w:rPr>
          <w:rFonts w:hint="eastAsia" w:ascii="宋体" w:hAnsi="宋体"/>
          <w:szCs w:val="21"/>
        </w:rPr>
        <w:t>易制毒品</w:t>
      </w:r>
      <w:r>
        <w:rPr>
          <w:rFonts w:hint="eastAsia" w:ascii="宋体" w:hAnsi="宋体"/>
          <w:szCs w:val="21"/>
          <w:lang w:eastAsia="zh-CN"/>
        </w:rPr>
        <w:t>必须通过</w:t>
      </w:r>
      <w:r>
        <w:rPr>
          <w:rFonts w:hint="eastAsia" w:ascii="宋体" w:hAnsi="宋体"/>
          <w:szCs w:val="21"/>
        </w:rPr>
        <w:t>正规渠道采购，</w:t>
      </w:r>
      <w:r>
        <w:rPr>
          <w:rFonts w:hint="eastAsia" w:ascii="宋体" w:hAnsi="宋体"/>
          <w:szCs w:val="21"/>
          <w:lang w:eastAsia="zh-CN"/>
        </w:rPr>
        <w:t>每学期集中采购一次，</w:t>
      </w:r>
      <w:r>
        <w:rPr>
          <w:rFonts w:hint="eastAsia" w:ascii="宋体" w:hAnsi="宋体"/>
          <w:szCs w:val="21"/>
        </w:rPr>
        <w:t>申购数量为半年</w:t>
      </w:r>
      <w:r>
        <w:rPr>
          <w:rFonts w:hint="eastAsia" w:ascii="宋体" w:hAnsi="宋体"/>
          <w:szCs w:val="21"/>
          <w:lang w:eastAsia="zh-CN"/>
        </w:rPr>
        <w:t>用量；须</w:t>
      </w:r>
      <w:r>
        <w:rPr>
          <w:rFonts w:hint="eastAsia" w:ascii="宋体" w:hAnsi="宋体"/>
          <w:szCs w:val="21"/>
        </w:rPr>
        <w:t>建立采购、使用、库存台账，台账至少保存3年</w:t>
      </w:r>
      <w:r>
        <w:rPr>
          <w:rFonts w:hint="eastAsia" w:ascii="宋体" w:hAnsi="宋体"/>
          <w:szCs w:val="21"/>
          <w:lang w:eastAsia="zh-CN"/>
        </w:rPr>
        <w:t>；</w:t>
      </w:r>
      <w:r>
        <w:rPr>
          <w:rFonts w:hint="eastAsia" w:ascii="宋体" w:hAnsi="宋体"/>
          <w:szCs w:val="21"/>
        </w:rPr>
        <w:t>实验室要指定专人保管易制毒</w:t>
      </w:r>
      <w:r>
        <w:rPr>
          <w:rFonts w:hint="eastAsia" w:ascii="宋体" w:hAnsi="宋体"/>
          <w:szCs w:val="21"/>
          <w:lang w:eastAsia="zh-CN"/>
        </w:rPr>
        <w:t>、危险、剧毒</w:t>
      </w:r>
      <w:r>
        <w:rPr>
          <w:rFonts w:hint="eastAsia" w:ascii="宋体" w:hAnsi="宋体"/>
          <w:szCs w:val="21"/>
        </w:rPr>
        <w:t>化学品，</w:t>
      </w:r>
      <w:r>
        <w:rPr>
          <w:rFonts w:hint="eastAsia" w:ascii="宋体" w:hAnsi="宋体"/>
          <w:szCs w:val="21"/>
          <w:lang w:val="en-US" w:eastAsia="zh-CN"/>
        </w:rPr>
        <w:t>双人双锁双人保管，</w:t>
      </w:r>
      <w:r>
        <w:rPr>
          <w:rFonts w:hint="eastAsia" w:ascii="宋体" w:hAnsi="宋体"/>
          <w:szCs w:val="21"/>
        </w:rPr>
        <w:t>当日不用的归橱上锁，确保存放、使用安全</w:t>
      </w:r>
      <w:r>
        <w:rPr>
          <w:rFonts w:hint="eastAsia" w:ascii="宋体" w:hAnsi="宋体"/>
          <w:szCs w:val="21"/>
          <w:lang w:eastAsia="zh-CN"/>
        </w:rPr>
        <w:t>；普通化学品也应严格管理。</w:t>
      </w:r>
    </w:p>
    <w:p>
      <w:pPr>
        <w:jc w:val="center"/>
        <w:rPr>
          <w:rFonts w:ascii="宋体" w:hAnsi="宋体" w:eastAsia="宋体"/>
          <w:b/>
          <w:snapToGrid w:val="0"/>
          <w:spacing w:val="-3"/>
          <w:sz w:val="28"/>
          <w:szCs w:val="28"/>
        </w:rPr>
      </w:pPr>
      <w:r>
        <w:rPr>
          <w:rFonts w:hint="eastAsia" w:ascii="宋体" w:hAnsi="宋体" w:eastAsia="宋体"/>
          <w:b/>
          <w:bCs/>
          <w:sz w:val="32"/>
          <w:szCs w:val="32"/>
        </w:rPr>
        <w:t>山东农业大学实验室危险废物管理台账</w:t>
      </w:r>
    </w:p>
    <w:p>
      <w:pPr>
        <w:rPr>
          <w:rFonts w:ascii="微软雅黑" w:hAnsi="微软雅黑" w:eastAsia="微软雅黑"/>
          <w:szCs w:val="21"/>
        </w:rPr>
      </w:pPr>
      <w:r>
        <w:rPr>
          <w:rFonts w:hint="eastAsia" w:ascii="微软雅黑" w:hAnsi="微软雅黑" w:eastAsia="微软雅黑"/>
          <w:bCs/>
          <w:sz w:val="24"/>
          <w:szCs w:val="24"/>
        </w:rPr>
        <w:t>学院：                 实验室名称</w:t>
      </w:r>
      <w:r>
        <w:rPr>
          <w:rFonts w:hint="eastAsia" w:ascii="微软雅黑" w:hAnsi="微软雅黑" w:eastAsia="微软雅黑"/>
          <w:bCs/>
          <w:sz w:val="24"/>
          <w:szCs w:val="24"/>
          <w:lang w:eastAsia="zh-CN"/>
        </w:rPr>
        <w:t>及房间号</w:t>
      </w:r>
      <w:r>
        <w:rPr>
          <w:rFonts w:hint="eastAsia" w:ascii="微软雅黑" w:hAnsi="微软雅黑" w:eastAsia="微软雅黑"/>
          <w:bCs/>
          <w:sz w:val="24"/>
          <w:szCs w:val="24"/>
        </w:rPr>
        <w:t xml:space="preserve">：                                                   台账编号：  </w:t>
      </w:r>
      <w:r>
        <w:rPr>
          <w:rFonts w:ascii="微软雅黑" w:hAnsi="微软雅黑" w:eastAsia="微软雅黑"/>
          <w:bCs/>
          <w:sz w:val="24"/>
          <w:szCs w:val="24"/>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w:t>
      </w:r>
    </w:p>
    <w:tbl>
      <w:tblPr>
        <w:tblStyle w:val="10"/>
        <w:tblW w:w="15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21"/>
        <w:gridCol w:w="1131"/>
        <w:gridCol w:w="1134"/>
        <w:gridCol w:w="850"/>
        <w:gridCol w:w="1407"/>
        <w:gridCol w:w="1570"/>
        <w:gridCol w:w="1701"/>
        <w:gridCol w:w="1134"/>
        <w:gridCol w:w="1134"/>
        <w:gridCol w:w="1196"/>
        <w:gridCol w:w="135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456" w:type="dxa"/>
            <w:gridSpan w:val="8"/>
            <w:vAlign w:val="center"/>
          </w:tcPr>
          <w:p>
            <w:pPr>
              <w:spacing w:line="480" w:lineRule="auto"/>
              <w:jc w:val="center"/>
              <w:rPr>
                <w:rFonts w:ascii="黑体" w:hAnsi="黑体" w:eastAsia="黑体"/>
                <w:b/>
                <w:kern w:val="0"/>
                <w:sz w:val="28"/>
                <w:szCs w:val="28"/>
              </w:rPr>
            </w:pPr>
            <w:r>
              <w:rPr>
                <w:rFonts w:hint="eastAsia" w:ascii="黑体" w:hAnsi="黑体" w:eastAsia="黑体"/>
                <w:b/>
                <w:kern w:val="0"/>
                <w:sz w:val="28"/>
                <w:szCs w:val="28"/>
              </w:rPr>
              <w:t>危 险 废 物 收 集 情 况</w:t>
            </w:r>
          </w:p>
        </w:tc>
        <w:tc>
          <w:tcPr>
            <w:tcW w:w="4828" w:type="dxa"/>
            <w:gridSpan w:val="5"/>
            <w:vAlign w:val="center"/>
          </w:tcPr>
          <w:p>
            <w:pPr>
              <w:spacing w:line="480" w:lineRule="auto"/>
              <w:jc w:val="center"/>
              <w:rPr>
                <w:rFonts w:ascii="黑体" w:hAnsi="黑体" w:eastAsia="黑体"/>
                <w:kern w:val="0"/>
                <w:sz w:val="28"/>
                <w:szCs w:val="28"/>
              </w:rPr>
            </w:pPr>
            <w:r>
              <w:rPr>
                <w:rFonts w:hint="eastAsia" w:ascii="黑体" w:hAnsi="黑体" w:eastAsia="黑体"/>
                <w:b/>
                <w:kern w:val="0"/>
                <w:sz w:val="28"/>
                <w:szCs w:val="28"/>
              </w:rPr>
              <w:t>危 险 废 物 转 移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0" w:hRule="atLeast"/>
          <w:jc w:val="center"/>
        </w:trPr>
        <w:tc>
          <w:tcPr>
            <w:tcW w:w="1242"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产生时间</w:t>
            </w:r>
          </w:p>
        </w:tc>
        <w:tc>
          <w:tcPr>
            <w:tcW w:w="1421"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危废名称</w:t>
            </w:r>
          </w:p>
        </w:tc>
        <w:tc>
          <w:tcPr>
            <w:tcW w:w="1131"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数量</w:t>
            </w:r>
          </w:p>
          <w:p>
            <w:pPr>
              <w:spacing w:line="276" w:lineRule="auto"/>
              <w:jc w:val="center"/>
              <w:rPr>
                <w:rFonts w:ascii="黑体" w:hAnsi="黑体" w:eastAsia="黑体"/>
                <w:b/>
                <w:kern w:val="0"/>
                <w:sz w:val="20"/>
                <w:szCs w:val="21"/>
              </w:rPr>
            </w:pPr>
            <w:r>
              <w:rPr>
                <w:rFonts w:hint="eastAsia" w:ascii="黑体" w:hAnsi="黑体" w:eastAsia="黑体"/>
                <w:b/>
                <w:kern w:val="0"/>
                <w:sz w:val="20"/>
                <w:szCs w:val="21"/>
              </w:rPr>
              <w:t>（g/ml）</w:t>
            </w:r>
          </w:p>
        </w:tc>
        <w:tc>
          <w:tcPr>
            <w:tcW w:w="1134"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危害成分含量(%)</w:t>
            </w:r>
          </w:p>
        </w:tc>
        <w:tc>
          <w:tcPr>
            <w:tcW w:w="850"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容器材质</w:t>
            </w:r>
          </w:p>
        </w:tc>
        <w:tc>
          <w:tcPr>
            <w:tcW w:w="1407"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存放地点</w:t>
            </w:r>
          </w:p>
          <w:p>
            <w:pPr>
              <w:spacing w:line="276" w:lineRule="auto"/>
              <w:jc w:val="center"/>
              <w:rPr>
                <w:rFonts w:ascii="黑体" w:hAnsi="黑体" w:eastAsia="黑体"/>
                <w:b/>
                <w:kern w:val="0"/>
                <w:sz w:val="20"/>
                <w:szCs w:val="21"/>
              </w:rPr>
            </w:pPr>
            <w:r>
              <w:rPr>
                <w:rFonts w:hint="eastAsia" w:ascii="黑体" w:hAnsi="黑体" w:eastAsia="黑体"/>
                <w:b/>
                <w:kern w:val="0"/>
                <w:sz w:val="20"/>
                <w:szCs w:val="21"/>
              </w:rPr>
              <w:t>楼房号</w:t>
            </w:r>
          </w:p>
        </w:tc>
        <w:tc>
          <w:tcPr>
            <w:tcW w:w="1570"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实验室负责人姓名电话</w:t>
            </w:r>
          </w:p>
        </w:tc>
        <w:tc>
          <w:tcPr>
            <w:tcW w:w="1701"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保管人姓名</w:t>
            </w:r>
          </w:p>
          <w:p>
            <w:pPr>
              <w:spacing w:line="276" w:lineRule="auto"/>
              <w:jc w:val="center"/>
              <w:rPr>
                <w:rFonts w:ascii="黑体" w:hAnsi="黑体" w:eastAsia="黑体"/>
                <w:b/>
                <w:kern w:val="0"/>
                <w:sz w:val="20"/>
                <w:szCs w:val="21"/>
              </w:rPr>
            </w:pPr>
            <w:r>
              <w:rPr>
                <w:rFonts w:hint="eastAsia" w:ascii="黑体" w:hAnsi="黑体" w:eastAsia="黑体"/>
                <w:b/>
                <w:kern w:val="0"/>
                <w:sz w:val="20"/>
                <w:szCs w:val="21"/>
              </w:rPr>
              <w:t>电话</w:t>
            </w:r>
          </w:p>
        </w:tc>
        <w:tc>
          <w:tcPr>
            <w:tcW w:w="1134"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危废转出</w:t>
            </w:r>
          </w:p>
          <w:p>
            <w:pPr>
              <w:spacing w:line="276" w:lineRule="auto"/>
              <w:jc w:val="center"/>
              <w:rPr>
                <w:rFonts w:ascii="黑体" w:hAnsi="黑体" w:eastAsia="黑体"/>
                <w:b/>
                <w:kern w:val="0"/>
                <w:sz w:val="20"/>
                <w:szCs w:val="21"/>
              </w:rPr>
            </w:pPr>
            <w:r>
              <w:rPr>
                <w:rFonts w:hint="eastAsia" w:ascii="黑体" w:hAnsi="黑体" w:eastAsia="黑体"/>
                <w:b/>
                <w:kern w:val="0"/>
                <w:sz w:val="20"/>
                <w:szCs w:val="21"/>
              </w:rPr>
              <w:t>日期</w:t>
            </w:r>
          </w:p>
        </w:tc>
        <w:tc>
          <w:tcPr>
            <w:tcW w:w="1134"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数量</w:t>
            </w:r>
          </w:p>
          <w:p>
            <w:pPr>
              <w:spacing w:line="276" w:lineRule="auto"/>
              <w:jc w:val="center"/>
              <w:rPr>
                <w:rFonts w:ascii="黑体" w:hAnsi="黑体" w:eastAsia="黑体"/>
                <w:b/>
                <w:kern w:val="0"/>
                <w:sz w:val="20"/>
                <w:szCs w:val="21"/>
              </w:rPr>
            </w:pPr>
            <w:r>
              <w:rPr>
                <w:rFonts w:hint="eastAsia" w:ascii="黑体" w:hAnsi="黑体" w:eastAsia="黑体"/>
                <w:b/>
                <w:kern w:val="0"/>
                <w:sz w:val="20"/>
                <w:szCs w:val="21"/>
              </w:rPr>
              <w:t>（g/ml）</w:t>
            </w:r>
          </w:p>
        </w:tc>
        <w:tc>
          <w:tcPr>
            <w:tcW w:w="1196"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废物</w:t>
            </w:r>
          </w:p>
          <w:p>
            <w:pPr>
              <w:spacing w:line="276" w:lineRule="auto"/>
              <w:jc w:val="center"/>
              <w:rPr>
                <w:rFonts w:ascii="黑体" w:hAnsi="黑体" w:eastAsia="黑体"/>
                <w:b/>
                <w:kern w:val="0"/>
                <w:sz w:val="20"/>
                <w:szCs w:val="21"/>
              </w:rPr>
            </w:pPr>
            <w:r>
              <w:rPr>
                <w:rFonts w:hint="eastAsia" w:ascii="黑体" w:hAnsi="黑体" w:eastAsia="黑体"/>
                <w:b/>
                <w:kern w:val="0"/>
                <w:sz w:val="20"/>
                <w:szCs w:val="21"/>
              </w:rPr>
              <w:t>去向</w:t>
            </w:r>
          </w:p>
        </w:tc>
        <w:tc>
          <w:tcPr>
            <w:tcW w:w="1358" w:type="dxa"/>
            <w:vAlign w:val="center"/>
          </w:tcPr>
          <w:p>
            <w:pPr>
              <w:spacing w:line="276" w:lineRule="auto"/>
              <w:jc w:val="center"/>
              <w:rPr>
                <w:rFonts w:ascii="黑体" w:hAnsi="黑体" w:eastAsia="黑体"/>
                <w:b/>
                <w:kern w:val="0"/>
                <w:sz w:val="20"/>
                <w:szCs w:val="21"/>
              </w:rPr>
            </w:pPr>
            <w:r>
              <w:rPr>
                <w:rFonts w:hint="eastAsia" w:ascii="黑体" w:hAnsi="黑体" w:eastAsia="黑体"/>
                <w:b/>
                <w:kern w:val="0"/>
                <w:sz w:val="20"/>
                <w:szCs w:val="21"/>
              </w:rPr>
              <w:t>接收人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7" w:hRule="atLeast"/>
          <w:jc w:val="center"/>
        </w:trPr>
        <w:tc>
          <w:tcPr>
            <w:tcW w:w="1242" w:type="dxa"/>
            <w:vAlign w:val="center"/>
          </w:tcPr>
          <w:p>
            <w:pPr>
              <w:rPr>
                <w:rFonts w:ascii="微软雅黑" w:hAnsi="微软雅黑" w:eastAsia="微软雅黑"/>
                <w:kern w:val="0"/>
                <w:sz w:val="20"/>
                <w:szCs w:val="21"/>
              </w:rPr>
            </w:pPr>
          </w:p>
        </w:tc>
        <w:tc>
          <w:tcPr>
            <w:tcW w:w="1421" w:type="dxa"/>
            <w:vAlign w:val="center"/>
          </w:tcPr>
          <w:p>
            <w:pPr>
              <w:rPr>
                <w:rFonts w:ascii="微软雅黑" w:hAnsi="微软雅黑" w:eastAsia="微软雅黑"/>
                <w:kern w:val="0"/>
                <w:sz w:val="20"/>
                <w:szCs w:val="21"/>
              </w:rPr>
            </w:pPr>
          </w:p>
        </w:tc>
        <w:tc>
          <w:tcPr>
            <w:tcW w:w="113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850" w:type="dxa"/>
            <w:vAlign w:val="center"/>
          </w:tcPr>
          <w:p>
            <w:pPr>
              <w:rPr>
                <w:rFonts w:ascii="微软雅黑" w:hAnsi="微软雅黑" w:eastAsia="微软雅黑"/>
                <w:kern w:val="0"/>
                <w:sz w:val="20"/>
                <w:szCs w:val="21"/>
              </w:rPr>
            </w:pPr>
          </w:p>
        </w:tc>
        <w:tc>
          <w:tcPr>
            <w:tcW w:w="1407" w:type="dxa"/>
            <w:vAlign w:val="center"/>
          </w:tcPr>
          <w:p>
            <w:pPr>
              <w:rPr>
                <w:rFonts w:ascii="微软雅黑" w:hAnsi="微软雅黑" w:eastAsia="微软雅黑"/>
                <w:kern w:val="0"/>
                <w:sz w:val="20"/>
                <w:szCs w:val="21"/>
              </w:rPr>
            </w:pPr>
          </w:p>
        </w:tc>
        <w:tc>
          <w:tcPr>
            <w:tcW w:w="1570" w:type="dxa"/>
            <w:vAlign w:val="center"/>
          </w:tcPr>
          <w:p>
            <w:pPr>
              <w:rPr>
                <w:rFonts w:ascii="微软雅黑" w:hAnsi="微软雅黑" w:eastAsia="微软雅黑"/>
                <w:kern w:val="0"/>
                <w:sz w:val="20"/>
                <w:szCs w:val="21"/>
              </w:rPr>
            </w:pPr>
          </w:p>
        </w:tc>
        <w:tc>
          <w:tcPr>
            <w:tcW w:w="170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96" w:type="dxa"/>
            <w:vAlign w:val="center"/>
          </w:tcPr>
          <w:p>
            <w:pPr>
              <w:rPr>
                <w:rFonts w:ascii="微软雅黑" w:hAnsi="微软雅黑" w:eastAsia="微软雅黑"/>
                <w:kern w:val="0"/>
                <w:sz w:val="20"/>
                <w:szCs w:val="21"/>
              </w:rPr>
            </w:pPr>
          </w:p>
        </w:tc>
        <w:tc>
          <w:tcPr>
            <w:tcW w:w="1358" w:type="dxa"/>
            <w:vAlign w:val="center"/>
          </w:tcPr>
          <w:p>
            <w:pPr>
              <w:rPr>
                <w:rFonts w:ascii="微软雅黑" w:hAnsi="微软雅黑"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7" w:hRule="atLeast"/>
          <w:jc w:val="center"/>
        </w:trPr>
        <w:tc>
          <w:tcPr>
            <w:tcW w:w="1242" w:type="dxa"/>
            <w:vAlign w:val="center"/>
          </w:tcPr>
          <w:p>
            <w:pPr>
              <w:rPr>
                <w:rFonts w:ascii="微软雅黑" w:hAnsi="微软雅黑" w:eastAsia="微软雅黑"/>
                <w:kern w:val="0"/>
                <w:sz w:val="20"/>
                <w:szCs w:val="21"/>
              </w:rPr>
            </w:pPr>
          </w:p>
        </w:tc>
        <w:tc>
          <w:tcPr>
            <w:tcW w:w="1421" w:type="dxa"/>
            <w:vAlign w:val="center"/>
          </w:tcPr>
          <w:p>
            <w:pPr>
              <w:rPr>
                <w:rFonts w:ascii="微软雅黑" w:hAnsi="微软雅黑" w:eastAsia="微软雅黑"/>
                <w:kern w:val="0"/>
                <w:sz w:val="20"/>
                <w:szCs w:val="21"/>
              </w:rPr>
            </w:pPr>
          </w:p>
        </w:tc>
        <w:tc>
          <w:tcPr>
            <w:tcW w:w="113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850" w:type="dxa"/>
            <w:vAlign w:val="center"/>
          </w:tcPr>
          <w:p>
            <w:pPr>
              <w:rPr>
                <w:rFonts w:ascii="微软雅黑" w:hAnsi="微软雅黑" w:eastAsia="微软雅黑"/>
                <w:kern w:val="0"/>
                <w:sz w:val="20"/>
                <w:szCs w:val="21"/>
              </w:rPr>
            </w:pPr>
          </w:p>
        </w:tc>
        <w:tc>
          <w:tcPr>
            <w:tcW w:w="1407" w:type="dxa"/>
            <w:vAlign w:val="center"/>
          </w:tcPr>
          <w:p>
            <w:pPr>
              <w:rPr>
                <w:rFonts w:ascii="微软雅黑" w:hAnsi="微软雅黑" w:eastAsia="微软雅黑"/>
                <w:kern w:val="0"/>
                <w:sz w:val="20"/>
                <w:szCs w:val="21"/>
              </w:rPr>
            </w:pPr>
          </w:p>
        </w:tc>
        <w:tc>
          <w:tcPr>
            <w:tcW w:w="1570" w:type="dxa"/>
            <w:vAlign w:val="center"/>
          </w:tcPr>
          <w:p>
            <w:pPr>
              <w:rPr>
                <w:rFonts w:ascii="微软雅黑" w:hAnsi="微软雅黑" w:eastAsia="微软雅黑"/>
                <w:kern w:val="0"/>
                <w:sz w:val="20"/>
                <w:szCs w:val="21"/>
              </w:rPr>
            </w:pPr>
          </w:p>
        </w:tc>
        <w:tc>
          <w:tcPr>
            <w:tcW w:w="170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96" w:type="dxa"/>
            <w:vAlign w:val="center"/>
          </w:tcPr>
          <w:p>
            <w:pPr>
              <w:rPr>
                <w:rFonts w:ascii="微软雅黑" w:hAnsi="微软雅黑" w:eastAsia="微软雅黑"/>
                <w:kern w:val="0"/>
                <w:sz w:val="20"/>
                <w:szCs w:val="21"/>
              </w:rPr>
            </w:pPr>
          </w:p>
        </w:tc>
        <w:tc>
          <w:tcPr>
            <w:tcW w:w="1358" w:type="dxa"/>
            <w:vAlign w:val="center"/>
          </w:tcPr>
          <w:p>
            <w:pPr>
              <w:rPr>
                <w:rFonts w:ascii="微软雅黑" w:hAnsi="微软雅黑"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7" w:hRule="atLeast"/>
          <w:jc w:val="center"/>
        </w:trPr>
        <w:tc>
          <w:tcPr>
            <w:tcW w:w="1242" w:type="dxa"/>
            <w:vAlign w:val="center"/>
          </w:tcPr>
          <w:p>
            <w:pPr>
              <w:rPr>
                <w:rFonts w:ascii="微软雅黑" w:hAnsi="微软雅黑" w:eastAsia="微软雅黑"/>
                <w:kern w:val="0"/>
                <w:sz w:val="20"/>
                <w:szCs w:val="21"/>
              </w:rPr>
            </w:pPr>
          </w:p>
        </w:tc>
        <w:tc>
          <w:tcPr>
            <w:tcW w:w="1421" w:type="dxa"/>
            <w:vAlign w:val="center"/>
          </w:tcPr>
          <w:p>
            <w:pPr>
              <w:rPr>
                <w:rFonts w:ascii="微软雅黑" w:hAnsi="微软雅黑" w:eastAsia="微软雅黑"/>
                <w:kern w:val="0"/>
                <w:sz w:val="20"/>
                <w:szCs w:val="21"/>
              </w:rPr>
            </w:pPr>
          </w:p>
        </w:tc>
        <w:tc>
          <w:tcPr>
            <w:tcW w:w="113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850" w:type="dxa"/>
            <w:vAlign w:val="center"/>
          </w:tcPr>
          <w:p>
            <w:pPr>
              <w:rPr>
                <w:rFonts w:ascii="微软雅黑" w:hAnsi="微软雅黑" w:eastAsia="微软雅黑"/>
                <w:kern w:val="0"/>
                <w:sz w:val="20"/>
                <w:szCs w:val="21"/>
              </w:rPr>
            </w:pPr>
          </w:p>
        </w:tc>
        <w:tc>
          <w:tcPr>
            <w:tcW w:w="1407" w:type="dxa"/>
            <w:vAlign w:val="center"/>
          </w:tcPr>
          <w:p>
            <w:pPr>
              <w:rPr>
                <w:rFonts w:ascii="微软雅黑" w:hAnsi="微软雅黑" w:eastAsia="微软雅黑"/>
                <w:kern w:val="0"/>
                <w:sz w:val="20"/>
                <w:szCs w:val="21"/>
              </w:rPr>
            </w:pPr>
          </w:p>
        </w:tc>
        <w:tc>
          <w:tcPr>
            <w:tcW w:w="1570" w:type="dxa"/>
            <w:vAlign w:val="center"/>
          </w:tcPr>
          <w:p>
            <w:pPr>
              <w:rPr>
                <w:rFonts w:ascii="微软雅黑" w:hAnsi="微软雅黑" w:eastAsia="微软雅黑"/>
                <w:kern w:val="0"/>
                <w:sz w:val="20"/>
                <w:szCs w:val="21"/>
              </w:rPr>
            </w:pPr>
          </w:p>
        </w:tc>
        <w:tc>
          <w:tcPr>
            <w:tcW w:w="170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96" w:type="dxa"/>
            <w:vAlign w:val="center"/>
          </w:tcPr>
          <w:p>
            <w:pPr>
              <w:rPr>
                <w:rFonts w:ascii="微软雅黑" w:hAnsi="微软雅黑" w:eastAsia="微软雅黑"/>
                <w:kern w:val="0"/>
                <w:sz w:val="20"/>
                <w:szCs w:val="21"/>
              </w:rPr>
            </w:pPr>
          </w:p>
        </w:tc>
        <w:tc>
          <w:tcPr>
            <w:tcW w:w="1358" w:type="dxa"/>
            <w:vAlign w:val="center"/>
          </w:tcPr>
          <w:p>
            <w:pPr>
              <w:rPr>
                <w:rFonts w:ascii="微软雅黑" w:hAnsi="微软雅黑"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5" w:hRule="atLeast"/>
          <w:jc w:val="center"/>
        </w:trPr>
        <w:tc>
          <w:tcPr>
            <w:tcW w:w="1242" w:type="dxa"/>
            <w:vAlign w:val="center"/>
          </w:tcPr>
          <w:p>
            <w:pPr>
              <w:rPr>
                <w:rFonts w:ascii="微软雅黑" w:hAnsi="微软雅黑" w:eastAsia="微软雅黑"/>
                <w:kern w:val="0"/>
                <w:sz w:val="20"/>
                <w:szCs w:val="21"/>
              </w:rPr>
            </w:pPr>
          </w:p>
        </w:tc>
        <w:tc>
          <w:tcPr>
            <w:tcW w:w="1421" w:type="dxa"/>
            <w:vAlign w:val="center"/>
          </w:tcPr>
          <w:p>
            <w:pPr>
              <w:rPr>
                <w:rFonts w:ascii="微软雅黑" w:hAnsi="微软雅黑" w:eastAsia="微软雅黑"/>
                <w:kern w:val="0"/>
                <w:sz w:val="20"/>
                <w:szCs w:val="21"/>
              </w:rPr>
            </w:pPr>
          </w:p>
        </w:tc>
        <w:tc>
          <w:tcPr>
            <w:tcW w:w="113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850" w:type="dxa"/>
            <w:vAlign w:val="center"/>
          </w:tcPr>
          <w:p>
            <w:pPr>
              <w:rPr>
                <w:rFonts w:ascii="微软雅黑" w:hAnsi="微软雅黑" w:eastAsia="微软雅黑"/>
                <w:kern w:val="0"/>
                <w:sz w:val="20"/>
                <w:szCs w:val="21"/>
              </w:rPr>
            </w:pPr>
          </w:p>
        </w:tc>
        <w:tc>
          <w:tcPr>
            <w:tcW w:w="1407" w:type="dxa"/>
            <w:vAlign w:val="center"/>
          </w:tcPr>
          <w:p>
            <w:pPr>
              <w:rPr>
                <w:rFonts w:ascii="微软雅黑" w:hAnsi="微软雅黑" w:eastAsia="微软雅黑"/>
                <w:kern w:val="0"/>
                <w:sz w:val="20"/>
                <w:szCs w:val="21"/>
              </w:rPr>
            </w:pPr>
          </w:p>
        </w:tc>
        <w:tc>
          <w:tcPr>
            <w:tcW w:w="1570" w:type="dxa"/>
            <w:vAlign w:val="center"/>
          </w:tcPr>
          <w:p>
            <w:pPr>
              <w:rPr>
                <w:rFonts w:ascii="微软雅黑" w:hAnsi="微软雅黑" w:eastAsia="微软雅黑"/>
                <w:kern w:val="0"/>
                <w:sz w:val="20"/>
                <w:szCs w:val="21"/>
              </w:rPr>
            </w:pPr>
          </w:p>
        </w:tc>
        <w:tc>
          <w:tcPr>
            <w:tcW w:w="170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96" w:type="dxa"/>
            <w:vAlign w:val="center"/>
          </w:tcPr>
          <w:p>
            <w:pPr>
              <w:rPr>
                <w:rFonts w:ascii="微软雅黑" w:hAnsi="微软雅黑" w:eastAsia="微软雅黑"/>
                <w:kern w:val="0"/>
                <w:sz w:val="20"/>
                <w:szCs w:val="21"/>
              </w:rPr>
            </w:pPr>
          </w:p>
        </w:tc>
        <w:tc>
          <w:tcPr>
            <w:tcW w:w="1358" w:type="dxa"/>
            <w:vAlign w:val="center"/>
          </w:tcPr>
          <w:p>
            <w:pPr>
              <w:rPr>
                <w:rFonts w:ascii="微软雅黑" w:hAnsi="微软雅黑"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5" w:hRule="atLeast"/>
          <w:jc w:val="center"/>
        </w:trPr>
        <w:tc>
          <w:tcPr>
            <w:tcW w:w="1242" w:type="dxa"/>
            <w:vAlign w:val="center"/>
          </w:tcPr>
          <w:p>
            <w:pPr>
              <w:rPr>
                <w:rFonts w:ascii="微软雅黑" w:hAnsi="微软雅黑" w:eastAsia="微软雅黑"/>
                <w:kern w:val="0"/>
                <w:sz w:val="20"/>
                <w:szCs w:val="21"/>
              </w:rPr>
            </w:pPr>
          </w:p>
        </w:tc>
        <w:tc>
          <w:tcPr>
            <w:tcW w:w="1421" w:type="dxa"/>
            <w:vAlign w:val="center"/>
          </w:tcPr>
          <w:p>
            <w:pPr>
              <w:rPr>
                <w:rFonts w:ascii="微软雅黑" w:hAnsi="微软雅黑" w:eastAsia="微软雅黑"/>
                <w:kern w:val="0"/>
                <w:sz w:val="20"/>
                <w:szCs w:val="21"/>
              </w:rPr>
            </w:pPr>
          </w:p>
        </w:tc>
        <w:tc>
          <w:tcPr>
            <w:tcW w:w="113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850" w:type="dxa"/>
            <w:vAlign w:val="center"/>
          </w:tcPr>
          <w:p>
            <w:pPr>
              <w:rPr>
                <w:rFonts w:ascii="微软雅黑" w:hAnsi="微软雅黑" w:eastAsia="微软雅黑"/>
                <w:kern w:val="0"/>
                <w:sz w:val="20"/>
                <w:szCs w:val="21"/>
              </w:rPr>
            </w:pPr>
          </w:p>
        </w:tc>
        <w:tc>
          <w:tcPr>
            <w:tcW w:w="1407" w:type="dxa"/>
            <w:vAlign w:val="center"/>
          </w:tcPr>
          <w:p>
            <w:pPr>
              <w:rPr>
                <w:rFonts w:ascii="微软雅黑" w:hAnsi="微软雅黑" w:eastAsia="微软雅黑"/>
                <w:kern w:val="0"/>
                <w:sz w:val="20"/>
                <w:szCs w:val="21"/>
              </w:rPr>
            </w:pPr>
          </w:p>
        </w:tc>
        <w:tc>
          <w:tcPr>
            <w:tcW w:w="1570" w:type="dxa"/>
            <w:vAlign w:val="center"/>
          </w:tcPr>
          <w:p>
            <w:pPr>
              <w:rPr>
                <w:rFonts w:ascii="微软雅黑" w:hAnsi="微软雅黑" w:eastAsia="微软雅黑"/>
                <w:kern w:val="0"/>
                <w:sz w:val="20"/>
                <w:szCs w:val="21"/>
              </w:rPr>
            </w:pPr>
          </w:p>
        </w:tc>
        <w:tc>
          <w:tcPr>
            <w:tcW w:w="170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96" w:type="dxa"/>
            <w:vAlign w:val="center"/>
          </w:tcPr>
          <w:p>
            <w:pPr>
              <w:rPr>
                <w:rFonts w:ascii="微软雅黑" w:hAnsi="微软雅黑" w:eastAsia="微软雅黑"/>
                <w:kern w:val="0"/>
                <w:sz w:val="20"/>
                <w:szCs w:val="21"/>
              </w:rPr>
            </w:pPr>
          </w:p>
        </w:tc>
        <w:tc>
          <w:tcPr>
            <w:tcW w:w="1358" w:type="dxa"/>
            <w:vAlign w:val="center"/>
          </w:tcPr>
          <w:p>
            <w:pPr>
              <w:rPr>
                <w:rFonts w:ascii="微软雅黑" w:hAnsi="微软雅黑"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95" w:hRule="atLeast"/>
          <w:jc w:val="center"/>
        </w:trPr>
        <w:tc>
          <w:tcPr>
            <w:tcW w:w="1242" w:type="dxa"/>
            <w:vAlign w:val="center"/>
          </w:tcPr>
          <w:p>
            <w:pPr>
              <w:rPr>
                <w:rFonts w:ascii="微软雅黑" w:hAnsi="微软雅黑" w:eastAsia="微软雅黑"/>
                <w:kern w:val="0"/>
                <w:sz w:val="20"/>
                <w:szCs w:val="21"/>
              </w:rPr>
            </w:pPr>
          </w:p>
        </w:tc>
        <w:tc>
          <w:tcPr>
            <w:tcW w:w="1421" w:type="dxa"/>
            <w:vAlign w:val="center"/>
          </w:tcPr>
          <w:p>
            <w:pPr>
              <w:rPr>
                <w:rFonts w:ascii="微软雅黑" w:hAnsi="微软雅黑" w:eastAsia="微软雅黑"/>
                <w:kern w:val="0"/>
                <w:sz w:val="20"/>
                <w:szCs w:val="21"/>
              </w:rPr>
            </w:pPr>
          </w:p>
        </w:tc>
        <w:tc>
          <w:tcPr>
            <w:tcW w:w="113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850" w:type="dxa"/>
            <w:vAlign w:val="center"/>
          </w:tcPr>
          <w:p>
            <w:pPr>
              <w:rPr>
                <w:rFonts w:ascii="微软雅黑" w:hAnsi="微软雅黑" w:eastAsia="微软雅黑"/>
                <w:kern w:val="0"/>
                <w:sz w:val="20"/>
                <w:szCs w:val="21"/>
              </w:rPr>
            </w:pPr>
          </w:p>
        </w:tc>
        <w:tc>
          <w:tcPr>
            <w:tcW w:w="1407" w:type="dxa"/>
            <w:vAlign w:val="center"/>
          </w:tcPr>
          <w:p>
            <w:pPr>
              <w:rPr>
                <w:rFonts w:ascii="微软雅黑" w:hAnsi="微软雅黑" w:eastAsia="微软雅黑"/>
                <w:kern w:val="0"/>
                <w:sz w:val="20"/>
                <w:szCs w:val="21"/>
              </w:rPr>
            </w:pPr>
          </w:p>
        </w:tc>
        <w:tc>
          <w:tcPr>
            <w:tcW w:w="1570" w:type="dxa"/>
            <w:vAlign w:val="center"/>
          </w:tcPr>
          <w:p>
            <w:pPr>
              <w:rPr>
                <w:rFonts w:ascii="微软雅黑" w:hAnsi="微软雅黑" w:eastAsia="微软雅黑"/>
                <w:kern w:val="0"/>
                <w:sz w:val="20"/>
                <w:szCs w:val="21"/>
              </w:rPr>
            </w:pPr>
          </w:p>
        </w:tc>
        <w:tc>
          <w:tcPr>
            <w:tcW w:w="170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96" w:type="dxa"/>
            <w:vAlign w:val="center"/>
          </w:tcPr>
          <w:p>
            <w:pPr>
              <w:rPr>
                <w:rFonts w:ascii="微软雅黑" w:hAnsi="微软雅黑" w:eastAsia="微软雅黑"/>
                <w:kern w:val="0"/>
                <w:sz w:val="20"/>
                <w:szCs w:val="21"/>
              </w:rPr>
            </w:pPr>
          </w:p>
        </w:tc>
        <w:tc>
          <w:tcPr>
            <w:tcW w:w="1358" w:type="dxa"/>
            <w:vAlign w:val="center"/>
          </w:tcPr>
          <w:p>
            <w:pPr>
              <w:rPr>
                <w:rFonts w:ascii="微软雅黑" w:hAnsi="微软雅黑"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9" w:hRule="atLeast"/>
          <w:jc w:val="center"/>
        </w:trPr>
        <w:tc>
          <w:tcPr>
            <w:tcW w:w="1242" w:type="dxa"/>
            <w:vAlign w:val="center"/>
          </w:tcPr>
          <w:p>
            <w:pPr>
              <w:rPr>
                <w:rFonts w:ascii="微软雅黑" w:hAnsi="微软雅黑" w:eastAsia="微软雅黑"/>
                <w:kern w:val="0"/>
                <w:sz w:val="20"/>
                <w:szCs w:val="21"/>
              </w:rPr>
            </w:pPr>
          </w:p>
        </w:tc>
        <w:tc>
          <w:tcPr>
            <w:tcW w:w="1421" w:type="dxa"/>
            <w:vAlign w:val="center"/>
          </w:tcPr>
          <w:p>
            <w:pPr>
              <w:rPr>
                <w:rFonts w:ascii="微软雅黑" w:hAnsi="微软雅黑" w:eastAsia="微软雅黑"/>
                <w:kern w:val="0"/>
                <w:sz w:val="20"/>
                <w:szCs w:val="21"/>
              </w:rPr>
            </w:pPr>
          </w:p>
        </w:tc>
        <w:tc>
          <w:tcPr>
            <w:tcW w:w="113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850" w:type="dxa"/>
            <w:vAlign w:val="center"/>
          </w:tcPr>
          <w:p>
            <w:pPr>
              <w:rPr>
                <w:rFonts w:ascii="微软雅黑" w:hAnsi="微软雅黑" w:eastAsia="微软雅黑"/>
                <w:kern w:val="0"/>
                <w:sz w:val="20"/>
                <w:szCs w:val="21"/>
              </w:rPr>
            </w:pPr>
          </w:p>
        </w:tc>
        <w:tc>
          <w:tcPr>
            <w:tcW w:w="1407" w:type="dxa"/>
            <w:vAlign w:val="center"/>
          </w:tcPr>
          <w:p>
            <w:pPr>
              <w:rPr>
                <w:rFonts w:ascii="微软雅黑" w:hAnsi="微软雅黑" w:eastAsia="微软雅黑"/>
                <w:kern w:val="0"/>
                <w:sz w:val="20"/>
                <w:szCs w:val="21"/>
              </w:rPr>
            </w:pPr>
          </w:p>
        </w:tc>
        <w:tc>
          <w:tcPr>
            <w:tcW w:w="1570" w:type="dxa"/>
            <w:vAlign w:val="center"/>
          </w:tcPr>
          <w:p>
            <w:pPr>
              <w:rPr>
                <w:rFonts w:ascii="微软雅黑" w:hAnsi="微软雅黑" w:eastAsia="微软雅黑"/>
                <w:kern w:val="0"/>
                <w:sz w:val="20"/>
                <w:szCs w:val="21"/>
              </w:rPr>
            </w:pPr>
          </w:p>
        </w:tc>
        <w:tc>
          <w:tcPr>
            <w:tcW w:w="1701"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34" w:type="dxa"/>
            <w:vAlign w:val="center"/>
          </w:tcPr>
          <w:p>
            <w:pPr>
              <w:rPr>
                <w:rFonts w:ascii="微软雅黑" w:hAnsi="微软雅黑" w:eastAsia="微软雅黑"/>
                <w:kern w:val="0"/>
                <w:sz w:val="20"/>
                <w:szCs w:val="21"/>
              </w:rPr>
            </w:pPr>
          </w:p>
        </w:tc>
        <w:tc>
          <w:tcPr>
            <w:tcW w:w="1196" w:type="dxa"/>
            <w:vAlign w:val="center"/>
          </w:tcPr>
          <w:p>
            <w:pPr>
              <w:rPr>
                <w:rFonts w:ascii="微软雅黑" w:hAnsi="微软雅黑" w:eastAsia="微软雅黑"/>
                <w:kern w:val="0"/>
                <w:sz w:val="20"/>
                <w:szCs w:val="21"/>
              </w:rPr>
            </w:pPr>
          </w:p>
        </w:tc>
        <w:tc>
          <w:tcPr>
            <w:tcW w:w="1358" w:type="dxa"/>
            <w:vAlign w:val="center"/>
          </w:tcPr>
          <w:p>
            <w:pPr>
              <w:rPr>
                <w:rFonts w:ascii="微软雅黑" w:hAnsi="微软雅黑" w:eastAsia="微软雅黑"/>
                <w:kern w:val="0"/>
                <w:sz w:val="20"/>
                <w:szCs w:val="21"/>
              </w:rPr>
            </w:pPr>
          </w:p>
        </w:tc>
      </w:tr>
    </w:tbl>
    <w:p>
      <w:pPr>
        <w:spacing w:line="0" w:lineRule="atLeast"/>
      </w:pPr>
      <w:r>
        <w:rPr>
          <w:rFonts w:hint="eastAsia" w:ascii="微软雅黑" w:hAnsi="微软雅黑" w:eastAsia="微软雅黑"/>
          <w:b/>
          <w:bCs/>
          <w:szCs w:val="21"/>
        </w:rPr>
        <w:t>备注：</w:t>
      </w:r>
      <w:r>
        <w:rPr>
          <w:rFonts w:hint="eastAsia" w:ascii="微软雅黑" w:hAnsi="微软雅黑" w:eastAsia="微软雅黑"/>
          <w:szCs w:val="21"/>
        </w:rPr>
        <w:t>1、台账由危险废物保管人填写。2、废物名称：注明主要危害成分名称（如含铬废液、含汞废液、含酚废液、废有机溶剂等）。3、存放地点：危险废物暂存点楼房号。4、废物去向：内部自行利用或交由专业公司处置。5、台账编号：由实验室自行编号，不得缺号。6、台账要装订成册。</w:t>
      </w:r>
    </w:p>
    <w:p>
      <w:pPr>
        <w:snapToGrid w:val="0"/>
        <w:spacing w:line="300" w:lineRule="auto"/>
        <w:rPr>
          <w:rFonts w:hint="eastAsia" w:ascii="宋体" w:hAnsi="宋体"/>
          <w:szCs w:val="21"/>
          <w:lang w:eastAsia="zh-CN"/>
        </w:rPr>
        <w:sectPr>
          <w:pgSz w:w="16838" w:h="11906" w:orient="landscape"/>
          <w:pgMar w:top="1689" w:right="1327" w:bottom="1576" w:left="1270" w:header="851" w:footer="992" w:gutter="0"/>
          <w:cols w:space="425" w:num="1"/>
          <w:docGrid w:type="lines" w:linePitch="312" w:charSpace="0"/>
        </w:sectPr>
      </w:pPr>
    </w:p>
    <w:p>
      <w:pPr>
        <w:jc w:val="center"/>
        <w:rPr>
          <w:rFonts w:ascii="宋体" w:hAnsi="宋体" w:eastAsia="宋体"/>
          <w:b/>
          <w:snapToGrid w:val="0"/>
          <w:spacing w:val="-3"/>
          <w:sz w:val="32"/>
          <w:szCs w:val="28"/>
        </w:rPr>
      </w:pPr>
      <w:r>
        <w:rPr>
          <w:rFonts w:hint="eastAsia" w:ascii="宋体" w:hAnsi="宋体" w:eastAsia="宋体"/>
          <w:b/>
          <w:snapToGrid w:val="0"/>
          <w:spacing w:val="-3"/>
          <w:sz w:val="32"/>
          <w:szCs w:val="28"/>
        </w:rPr>
        <w:t>实验室废液相容表</w:t>
      </w:r>
    </w:p>
    <w:p>
      <w:pPr>
        <w:rPr>
          <w:rFonts w:hint="eastAsia" w:ascii="宋体" w:hAnsi="宋体"/>
          <w:szCs w:val="21"/>
          <w:lang w:eastAsia="zh-CN"/>
        </w:rPr>
        <w:sectPr>
          <w:pgSz w:w="16838" w:h="11906" w:orient="landscape"/>
          <w:pgMar w:top="1689" w:right="1327" w:bottom="1576" w:left="1270" w:header="851" w:footer="992" w:gutter="0"/>
          <w:cols w:space="425" w:num="1"/>
          <w:docGrid w:type="lines" w:linePitch="312" w:charSpace="0"/>
        </w:sectPr>
      </w:pPr>
      <w:r>
        <w:rPr>
          <w:rFonts w:ascii="楷体_GB2312" w:eastAsia="楷体_GB2312"/>
          <w:b/>
          <w:spacing w:val="-3"/>
          <w:sz w:val="32"/>
          <w:szCs w:val="28"/>
        </w:rPr>
        <w:drawing>
          <wp:anchor distT="0" distB="0" distL="114300" distR="114300" simplePos="0" relativeHeight="251660288" behindDoc="0" locked="0" layoutInCell="1" allowOverlap="1">
            <wp:simplePos x="0" y="0"/>
            <wp:positionH relativeFrom="column">
              <wp:posOffset>-7620</wp:posOffset>
            </wp:positionH>
            <wp:positionV relativeFrom="paragraph">
              <wp:posOffset>97790</wp:posOffset>
            </wp:positionV>
            <wp:extent cx="8997950" cy="4282440"/>
            <wp:effectExtent l="0" t="0" r="6350" b="1016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999568" cy="4283145"/>
                    </a:xfrm>
                    <a:prstGeom prst="rect">
                      <a:avLst/>
                    </a:prstGeom>
                  </pic:spPr>
                </pic:pic>
              </a:graphicData>
            </a:graphic>
          </wp:anchor>
        </w:drawing>
      </w:r>
      <w:r>
        <w:rPr>
          <w:rFonts w:hint="eastAsia" w:ascii="楷体_GB2312" w:eastAsia="楷体_GB2312"/>
          <w:b/>
          <w:snapToGrid w:val="0"/>
          <w:spacing w:val="-3"/>
          <w:sz w:val="28"/>
          <w:szCs w:val="28"/>
        </w:rPr>
        <w:t xml:space="preserve">  </w:t>
      </w:r>
    </w:p>
    <w:p>
      <w:pPr>
        <w:jc w:val="center"/>
        <w:rPr>
          <w:rFonts w:ascii="宋体" w:hAnsi="宋体" w:eastAsia="宋体"/>
          <w:b/>
          <w:sz w:val="36"/>
          <w:szCs w:val="36"/>
        </w:rPr>
      </w:pPr>
      <w:r>
        <w:rPr>
          <w:rFonts w:hint="eastAsia" w:ascii="宋体" w:hAnsi="宋体" w:eastAsia="宋体"/>
          <w:b/>
          <w:sz w:val="36"/>
          <w:szCs w:val="36"/>
        </w:rPr>
        <w:t>固体危险废物统计表</w:t>
      </w:r>
    </w:p>
    <w:p>
      <w:pPr>
        <w:jc w:val="center"/>
        <w:rPr>
          <w:rFonts w:ascii="宋体" w:hAnsi="宋体" w:eastAsia="宋体"/>
          <w:b/>
          <w:sz w:val="24"/>
        </w:rPr>
      </w:pPr>
      <w:r>
        <w:rPr>
          <w:rFonts w:hint="eastAsia" w:ascii="宋体" w:hAnsi="宋体" w:eastAsia="宋体"/>
          <w:b/>
          <w:sz w:val="24"/>
        </w:rPr>
        <w:t xml:space="preserve">学院（盖章）：   </w:t>
      </w:r>
      <w:r>
        <w:rPr>
          <w:rFonts w:ascii="宋体" w:hAnsi="宋体" w:eastAsia="宋体"/>
          <w:b/>
          <w:sz w:val="24"/>
        </w:rPr>
        <w:t xml:space="preserve">      </w:t>
      </w:r>
      <w:r>
        <w:rPr>
          <w:rFonts w:hint="eastAsia" w:ascii="宋体" w:hAnsi="宋体" w:eastAsia="宋体"/>
          <w:b/>
          <w:sz w:val="24"/>
        </w:rPr>
        <w:t xml:space="preserve">    负责人：        </w:t>
      </w:r>
      <w:r>
        <w:rPr>
          <w:rFonts w:ascii="宋体" w:hAnsi="宋体" w:eastAsia="宋体"/>
          <w:b/>
          <w:sz w:val="24"/>
        </w:rPr>
        <w:t xml:space="preserve">  </w:t>
      </w:r>
      <w:r>
        <w:rPr>
          <w:rFonts w:hint="eastAsia" w:ascii="宋体" w:hAnsi="宋体" w:eastAsia="宋体"/>
          <w:b/>
          <w:sz w:val="24"/>
        </w:rPr>
        <w:t xml:space="preserve">         年 </w:t>
      </w:r>
      <w:r>
        <w:rPr>
          <w:rFonts w:ascii="宋体" w:hAnsi="宋体" w:eastAsia="宋体"/>
          <w:b/>
          <w:sz w:val="24"/>
        </w:rPr>
        <w:t xml:space="preserve">  </w:t>
      </w:r>
      <w:r>
        <w:rPr>
          <w:rFonts w:hint="eastAsia" w:ascii="宋体" w:hAnsi="宋体" w:eastAsia="宋体"/>
          <w:b/>
          <w:sz w:val="24"/>
        </w:rPr>
        <w:t xml:space="preserve">月 </w:t>
      </w:r>
      <w:r>
        <w:rPr>
          <w:rFonts w:ascii="宋体" w:hAnsi="宋体" w:eastAsia="宋体"/>
          <w:b/>
          <w:sz w:val="24"/>
        </w:rPr>
        <w:t xml:space="preserve">  </w:t>
      </w:r>
      <w:r>
        <w:rPr>
          <w:rFonts w:hint="eastAsia" w:ascii="宋体" w:hAnsi="宋体" w:eastAsia="宋体"/>
          <w:b/>
          <w:sz w:val="24"/>
        </w:rPr>
        <w:t>日</w:t>
      </w:r>
    </w:p>
    <w:tbl>
      <w:tblPr>
        <w:tblStyle w:val="10"/>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700"/>
        <w:gridCol w:w="1280"/>
        <w:gridCol w:w="2268"/>
        <w:gridCol w:w="115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危险废物名称（主要</w:t>
            </w:r>
          </w:p>
          <w:p>
            <w:pPr>
              <w:jc w:val="center"/>
              <w:rPr>
                <w:rFonts w:ascii="楷体_GB2312" w:eastAsia="楷体_GB2312"/>
                <w:b/>
                <w:kern w:val="0"/>
                <w:sz w:val="24"/>
                <w:szCs w:val="20"/>
              </w:rPr>
            </w:pPr>
            <w:r>
              <w:rPr>
                <w:rFonts w:hint="eastAsia" w:ascii="楷体_GB2312" w:eastAsia="楷体_GB2312"/>
                <w:b/>
                <w:kern w:val="0"/>
                <w:sz w:val="24"/>
                <w:szCs w:val="20"/>
              </w:rPr>
              <w:t>污染物所占比例）(%)</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重量（g）</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存放地点（楼房号）</w:t>
            </w:r>
          </w:p>
        </w:tc>
        <w:tc>
          <w:tcPr>
            <w:tcW w:w="115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保管人</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1</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2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15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7"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2</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2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15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7"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3</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2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15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7"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4</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2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15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7"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5</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2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15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7"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6</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2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15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7"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2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15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7"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合计</w:t>
            </w:r>
          </w:p>
        </w:tc>
        <w:tc>
          <w:tcPr>
            <w:tcW w:w="2700" w:type="dxa"/>
            <w:tcBorders>
              <w:top w:val="single" w:color="auto" w:sz="4" w:space="0"/>
              <w:left w:val="single" w:color="auto" w:sz="4" w:space="0"/>
              <w:bottom w:val="single" w:color="auto" w:sz="4" w:space="0"/>
              <w:right w:val="single" w:color="auto" w:sz="4" w:space="0"/>
            </w:tcBorders>
          </w:tcPr>
          <w:p>
            <w:pPr>
              <w:widowControl/>
              <w:ind w:firstLine="482"/>
              <w:jc w:val="left"/>
              <w:rPr>
                <w:rFonts w:ascii="楷体_GB2312" w:eastAsia="楷体_GB2312"/>
                <w:kern w:val="0"/>
                <w:sz w:val="24"/>
                <w:szCs w:val="20"/>
              </w:rPr>
            </w:pPr>
          </w:p>
        </w:tc>
        <w:tc>
          <w:tcPr>
            <w:tcW w:w="128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2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15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87"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bl>
    <w:p/>
    <w:p>
      <w:pPr>
        <w:widowControl/>
        <w:jc w:val="left"/>
        <w:rPr>
          <w:rFonts w:ascii="楷体_GB2312" w:eastAsia="楷体_GB2312"/>
          <w:b/>
          <w:sz w:val="30"/>
          <w:szCs w:val="30"/>
        </w:rPr>
      </w:pPr>
      <w:r>
        <w:rPr>
          <w:rFonts w:ascii="楷体_GB2312" w:eastAsia="楷体_GB2312"/>
          <w:b/>
          <w:sz w:val="30"/>
          <w:szCs w:val="30"/>
        </w:rPr>
        <w:br w:type="page"/>
      </w:r>
    </w:p>
    <w:p>
      <w:pPr>
        <w:jc w:val="center"/>
        <w:rPr>
          <w:rFonts w:ascii="宋体" w:hAnsi="宋体" w:eastAsia="宋体"/>
          <w:b/>
          <w:sz w:val="36"/>
          <w:szCs w:val="36"/>
        </w:rPr>
      </w:pPr>
      <w:r>
        <w:rPr>
          <w:rFonts w:hint="eastAsia" w:ascii="宋体" w:hAnsi="宋体" w:eastAsia="宋体"/>
          <w:b/>
          <w:sz w:val="36"/>
          <w:szCs w:val="36"/>
        </w:rPr>
        <w:t>液体危险废物统计表</w:t>
      </w:r>
    </w:p>
    <w:p>
      <w:pPr>
        <w:jc w:val="center"/>
        <w:rPr>
          <w:rFonts w:ascii="宋体" w:hAnsi="宋体" w:eastAsia="宋体"/>
          <w:b/>
          <w:sz w:val="24"/>
        </w:rPr>
      </w:pPr>
      <w:r>
        <w:rPr>
          <w:rFonts w:hint="eastAsia" w:ascii="宋体" w:hAnsi="宋体" w:eastAsia="宋体"/>
          <w:b/>
          <w:sz w:val="24"/>
        </w:rPr>
        <w:t xml:space="preserve">学院（盖章）：   </w:t>
      </w:r>
      <w:r>
        <w:rPr>
          <w:rFonts w:ascii="宋体" w:hAnsi="宋体" w:eastAsia="宋体"/>
          <w:b/>
          <w:sz w:val="24"/>
        </w:rPr>
        <w:t xml:space="preserve">      </w:t>
      </w:r>
      <w:r>
        <w:rPr>
          <w:rFonts w:hint="eastAsia" w:ascii="宋体" w:hAnsi="宋体" w:eastAsia="宋体"/>
          <w:b/>
          <w:sz w:val="24"/>
        </w:rPr>
        <w:t xml:space="preserve">    负责人：        </w:t>
      </w:r>
      <w:r>
        <w:rPr>
          <w:rFonts w:ascii="宋体" w:hAnsi="宋体" w:eastAsia="宋体"/>
          <w:b/>
          <w:sz w:val="24"/>
        </w:rPr>
        <w:t xml:space="preserve">  </w:t>
      </w:r>
      <w:r>
        <w:rPr>
          <w:rFonts w:hint="eastAsia" w:ascii="宋体" w:hAnsi="宋体" w:eastAsia="宋体"/>
          <w:b/>
          <w:sz w:val="24"/>
        </w:rPr>
        <w:t xml:space="preserve">         年 </w:t>
      </w:r>
      <w:r>
        <w:rPr>
          <w:rFonts w:ascii="宋体" w:hAnsi="宋体" w:eastAsia="宋体"/>
          <w:b/>
          <w:sz w:val="24"/>
        </w:rPr>
        <w:t xml:space="preserve">  </w:t>
      </w:r>
      <w:r>
        <w:rPr>
          <w:rFonts w:hint="eastAsia" w:ascii="宋体" w:hAnsi="宋体" w:eastAsia="宋体"/>
          <w:b/>
          <w:sz w:val="24"/>
        </w:rPr>
        <w:t xml:space="preserve">月 </w:t>
      </w:r>
      <w:r>
        <w:rPr>
          <w:rFonts w:ascii="宋体" w:hAnsi="宋体" w:eastAsia="宋体"/>
          <w:b/>
          <w:sz w:val="24"/>
        </w:rPr>
        <w:t xml:space="preserve">  </w:t>
      </w:r>
      <w:r>
        <w:rPr>
          <w:rFonts w:hint="eastAsia" w:ascii="宋体" w:hAnsi="宋体" w:eastAsia="宋体"/>
          <w:b/>
          <w:sz w:val="24"/>
        </w:rPr>
        <w:t>日</w:t>
      </w:r>
    </w:p>
    <w:tbl>
      <w:tblPr>
        <w:tblStyle w:val="1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700"/>
        <w:gridCol w:w="1435"/>
        <w:gridCol w:w="1995"/>
        <w:gridCol w:w="1268"/>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危险废物名称（主要</w:t>
            </w:r>
          </w:p>
          <w:p>
            <w:pPr>
              <w:jc w:val="center"/>
              <w:rPr>
                <w:rFonts w:ascii="楷体_GB2312" w:eastAsia="楷体_GB2312"/>
                <w:b/>
                <w:kern w:val="0"/>
                <w:sz w:val="24"/>
                <w:szCs w:val="20"/>
              </w:rPr>
            </w:pPr>
            <w:r>
              <w:rPr>
                <w:rFonts w:hint="eastAsia" w:ascii="楷体_GB2312" w:eastAsia="楷体_GB2312"/>
                <w:b/>
                <w:kern w:val="0"/>
                <w:sz w:val="24"/>
                <w:szCs w:val="20"/>
              </w:rPr>
              <w:t>污染物所占比例）(%)</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体积（ml）</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存放地点</w:t>
            </w:r>
          </w:p>
          <w:p>
            <w:pPr>
              <w:jc w:val="center"/>
              <w:rPr>
                <w:rFonts w:ascii="楷体_GB2312" w:eastAsia="楷体_GB2312"/>
                <w:b/>
                <w:kern w:val="0"/>
                <w:sz w:val="24"/>
                <w:szCs w:val="20"/>
              </w:rPr>
            </w:pPr>
            <w:r>
              <w:rPr>
                <w:rFonts w:hint="eastAsia" w:ascii="楷体_GB2312" w:eastAsia="楷体_GB2312"/>
                <w:b/>
                <w:kern w:val="0"/>
                <w:sz w:val="24"/>
                <w:szCs w:val="20"/>
              </w:rPr>
              <w:t>（楼房号）</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保管人</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1</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2</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3</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4</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5</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6</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7</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8</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szCs w:val="20"/>
              </w:rPr>
            </w:pPr>
            <w:r>
              <w:rPr>
                <w:rFonts w:hint="eastAsia" w:ascii="楷体_GB2312" w:eastAsia="楷体_GB2312"/>
                <w:kern w:val="0"/>
                <w:sz w:val="24"/>
                <w:szCs w:val="20"/>
              </w:rPr>
              <w:t>9</w:t>
            </w:r>
          </w:p>
        </w:tc>
        <w:tc>
          <w:tcPr>
            <w:tcW w:w="2700"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楷体_GB2312" w:eastAsia="楷体_GB2312"/>
                <w:kern w:val="0"/>
                <w:sz w:val="24"/>
                <w:szCs w:val="20"/>
              </w:rPr>
            </w:pPr>
          </w:p>
        </w:tc>
        <w:tc>
          <w:tcPr>
            <w:tcW w:w="2700" w:type="dxa"/>
            <w:tcBorders>
              <w:top w:val="single" w:color="auto" w:sz="4" w:space="0"/>
              <w:left w:val="single" w:color="auto" w:sz="4" w:space="0"/>
              <w:bottom w:val="single" w:color="auto" w:sz="4" w:space="0"/>
              <w:right w:val="single" w:color="auto" w:sz="4" w:space="0"/>
            </w:tcBorders>
          </w:tcPr>
          <w:p>
            <w:pPr>
              <w:widowControl/>
              <w:ind w:firstLine="482"/>
              <w:jc w:val="left"/>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kern w:val="0"/>
                <w:sz w:val="24"/>
                <w:szCs w:val="20"/>
              </w:rPr>
            </w:pPr>
            <w:r>
              <w:rPr>
                <w:rFonts w:hint="eastAsia" w:ascii="楷体_GB2312" w:eastAsia="楷体_GB2312"/>
                <w:b/>
                <w:kern w:val="0"/>
                <w:sz w:val="24"/>
                <w:szCs w:val="20"/>
              </w:rPr>
              <w:t>合计</w:t>
            </w:r>
          </w:p>
        </w:tc>
        <w:tc>
          <w:tcPr>
            <w:tcW w:w="2700" w:type="dxa"/>
            <w:tcBorders>
              <w:top w:val="single" w:color="auto" w:sz="4" w:space="0"/>
              <w:left w:val="single" w:color="auto" w:sz="4" w:space="0"/>
              <w:bottom w:val="single" w:color="auto" w:sz="4" w:space="0"/>
              <w:right w:val="single" w:color="auto" w:sz="4" w:space="0"/>
            </w:tcBorders>
          </w:tcPr>
          <w:p>
            <w:pPr>
              <w:widowControl/>
              <w:ind w:firstLine="482"/>
              <w:jc w:val="left"/>
              <w:rPr>
                <w:rFonts w:ascii="楷体_GB2312" w:eastAsia="楷体_GB2312"/>
                <w:kern w:val="0"/>
                <w:sz w:val="24"/>
                <w:szCs w:val="20"/>
              </w:rPr>
            </w:pPr>
          </w:p>
        </w:tc>
        <w:tc>
          <w:tcPr>
            <w:tcW w:w="14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99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268"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c>
          <w:tcPr>
            <w:tcW w:w="1335" w:type="dxa"/>
            <w:tcBorders>
              <w:top w:val="single" w:color="auto" w:sz="4" w:space="0"/>
              <w:left w:val="single" w:color="auto" w:sz="4" w:space="0"/>
              <w:bottom w:val="single" w:color="auto" w:sz="4" w:space="0"/>
              <w:right w:val="single" w:color="auto" w:sz="4" w:space="0"/>
            </w:tcBorders>
          </w:tcPr>
          <w:p>
            <w:pPr>
              <w:ind w:firstLine="482"/>
              <w:rPr>
                <w:rFonts w:ascii="楷体_GB2312" w:eastAsia="楷体_GB2312"/>
                <w:kern w:val="0"/>
                <w:sz w:val="24"/>
                <w:szCs w:val="20"/>
              </w:rPr>
            </w:pPr>
          </w:p>
        </w:tc>
      </w:tr>
    </w:tbl>
    <w:p>
      <w:pPr>
        <w:rPr>
          <w:rFonts w:ascii="楷体_GB2312" w:eastAsia="楷体_GB2312"/>
          <w:b/>
          <w:snapToGrid w:val="0"/>
          <w:spacing w:val="-3"/>
          <w:sz w:val="28"/>
          <w:szCs w:val="28"/>
        </w:rPr>
      </w:pPr>
    </w:p>
    <w:p>
      <w:pPr>
        <w:widowControl/>
        <w:jc w:val="left"/>
        <w:rPr>
          <w:rFonts w:ascii="楷体_GB2312" w:eastAsia="楷体_GB2312"/>
          <w:b/>
          <w:snapToGrid w:val="0"/>
          <w:spacing w:val="-3"/>
          <w:sz w:val="28"/>
          <w:szCs w:val="28"/>
        </w:rPr>
      </w:pPr>
      <w:r>
        <w:rPr>
          <w:rFonts w:ascii="楷体_GB2312" w:eastAsia="楷体_GB2312"/>
          <w:b/>
          <w:snapToGrid w:val="0"/>
          <w:spacing w:val="-3"/>
          <w:sz w:val="28"/>
          <w:szCs w:val="28"/>
        </w:rPr>
        <w:br w:type="page"/>
      </w:r>
    </w:p>
    <w:p>
      <w:pPr>
        <w:rPr>
          <w:rFonts w:hint="eastAsia"/>
        </w:rPr>
      </w:pPr>
    </w:p>
    <w:p>
      <w:pPr>
        <w:pStyle w:val="4"/>
        <w:bidi w:val="0"/>
        <w:rPr>
          <w:rFonts w:hint="eastAsia"/>
        </w:rPr>
      </w:pPr>
      <w:r>
        <w:rPr>
          <w:rFonts w:hint="eastAsia"/>
        </w:rPr>
        <w:t>林学</w:t>
      </w:r>
      <w:r>
        <w:rPr>
          <w:rFonts w:hint="eastAsia"/>
          <w:lang w:eastAsia="zh-CN"/>
        </w:rPr>
        <w:t>院</w:t>
      </w:r>
      <w:bookmarkStart w:id="3" w:name="_GoBack"/>
      <w:bookmarkEnd w:id="3"/>
      <w:r>
        <w:rPr>
          <w:rFonts w:hint="eastAsia"/>
        </w:rPr>
        <w:t>实验室突发安全事故应急预案</w:t>
      </w:r>
    </w:p>
    <w:p>
      <w:pPr>
        <w:rPr>
          <w:rFonts w:hint="eastAsia"/>
        </w:rPr>
      </w:pPr>
      <w:r>
        <w:rPr>
          <w:rFonts w:hint="eastAsia"/>
        </w:rPr>
        <w:t>一、总则</w:t>
      </w:r>
    </w:p>
    <w:p>
      <w:pPr>
        <w:rPr>
          <w:rFonts w:hint="eastAsia"/>
        </w:rPr>
      </w:pPr>
      <w:r>
        <w:rPr>
          <w:rFonts w:hint="eastAsia"/>
        </w:rPr>
        <w:t>（一）依据《中华人民共和国突发事件应对法》、《国家突发公共卫生事件总体应急预案》等文件，结合学校实验室的实际情况，制定本预案。</w:t>
      </w:r>
    </w:p>
    <w:p>
      <w:pPr>
        <w:rPr>
          <w:rFonts w:hint="eastAsia"/>
        </w:rPr>
      </w:pPr>
      <w:r>
        <w:rPr>
          <w:rFonts w:hint="eastAsia"/>
        </w:rPr>
        <w:t>（二）有效预防、及时控制和妥善处置实验室突发安全事故，保证实验室正常的教学科研秩序，保护实验人员生命及财产安全，防止环境污染，提高师生应对突发事故的能力，最大限度地减少突发事故造成的损失。</w:t>
      </w:r>
    </w:p>
    <w:p>
      <w:pPr>
        <w:rPr>
          <w:rFonts w:hint="eastAsia"/>
        </w:rPr>
      </w:pPr>
      <w:r>
        <w:rPr>
          <w:rFonts w:hint="eastAsia"/>
        </w:rPr>
        <w:t>（三）坚持“以人为本、预防为主”的原则；实行校院两级管理，明确分工，依法规范。对突发安全事故反应迅速，科学处置。</w:t>
      </w:r>
    </w:p>
    <w:p>
      <w:pPr>
        <w:rPr>
          <w:rFonts w:hint="eastAsia"/>
        </w:rPr>
      </w:pPr>
      <w:r>
        <w:rPr>
          <w:rFonts w:hint="eastAsia"/>
        </w:rPr>
        <w:t>二、应急组织体系及职责</w:t>
      </w:r>
    </w:p>
    <w:p>
      <w:pPr>
        <w:ind w:firstLine="420" w:firstLineChars="200"/>
        <w:rPr>
          <w:rFonts w:hint="eastAsia"/>
        </w:rPr>
      </w:pPr>
      <w:r>
        <w:rPr>
          <w:rFonts w:hint="eastAsia"/>
          <w:lang w:eastAsia="zh-CN"/>
        </w:rPr>
        <w:t>（一）</w:t>
      </w:r>
      <w:r>
        <w:rPr>
          <w:rFonts w:hint="eastAsia"/>
        </w:rPr>
        <w:t>林学实验教学中心应急救援工作领导小组成员及责任分工</w:t>
      </w:r>
    </w:p>
    <w:p>
      <w:pPr>
        <w:ind w:firstLine="420" w:firstLineChars="200"/>
        <w:rPr>
          <w:rFonts w:hint="eastAsia" w:eastAsiaTheme="minorEastAsia"/>
          <w:lang w:val="en-US" w:eastAsia="zh-CN"/>
        </w:rPr>
      </w:pPr>
      <w:r>
        <w:rPr>
          <w:rFonts w:hint="eastAsia"/>
        </w:rPr>
        <w:t>组长：于晓艳</w:t>
      </w:r>
      <w:r>
        <w:rPr>
          <w:rFonts w:hint="eastAsia"/>
          <w:lang w:val="en-US" w:eastAsia="zh-CN"/>
        </w:rPr>
        <w:t xml:space="preserve"> 桑亚林</w:t>
      </w:r>
    </w:p>
    <w:p>
      <w:pPr>
        <w:ind w:firstLine="420" w:firstLineChars="200"/>
        <w:rPr>
          <w:rFonts w:hint="eastAsia"/>
        </w:rPr>
      </w:pPr>
      <w:r>
        <w:rPr>
          <w:rFonts w:hint="eastAsia"/>
        </w:rPr>
        <w:t>副组长：张永涛</w:t>
      </w:r>
    </w:p>
    <w:p>
      <w:pPr>
        <w:ind w:firstLine="420" w:firstLineChars="200"/>
        <w:rPr>
          <w:rFonts w:hint="eastAsia" w:eastAsiaTheme="minorEastAsia"/>
          <w:lang w:eastAsia="zh-CN"/>
        </w:rPr>
      </w:pPr>
      <w:r>
        <w:rPr>
          <w:rFonts w:hint="eastAsia"/>
        </w:rPr>
        <w:t>成员：孟凡志、</w:t>
      </w:r>
      <w:r>
        <w:rPr>
          <w:rFonts w:hint="eastAsia"/>
          <w:lang w:eastAsia="zh-CN"/>
        </w:rPr>
        <w:t>王利、强薇、</w:t>
      </w:r>
      <w:r>
        <w:rPr>
          <w:rFonts w:hint="eastAsia"/>
        </w:rPr>
        <w:t>杜明芸、段祖安、贾万达、张明忠</w:t>
      </w:r>
      <w:r>
        <w:rPr>
          <w:rFonts w:hint="eastAsia"/>
          <w:lang w:eastAsia="zh-CN"/>
        </w:rPr>
        <w:t>、韩克杰、董玉惠、王树梅</w:t>
      </w:r>
    </w:p>
    <w:p>
      <w:pPr>
        <w:ind w:firstLine="420" w:firstLineChars="200"/>
        <w:rPr>
          <w:rFonts w:hint="eastAsia"/>
        </w:rPr>
      </w:pPr>
      <w:r>
        <w:rPr>
          <w:rFonts w:hint="eastAsia"/>
        </w:rPr>
        <w:t>张永涛</w:t>
      </w:r>
      <w:r>
        <w:rPr>
          <w:rFonts w:hint="eastAsia"/>
          <w:lang w:eastAsia="zh-CN"/>
        </w:rPr>
        <w:t>、韩克杰、董玉惠</w:t>
      </w:r>
      <w:r>
        <w:rPr>
          <w:rFonts w:hint="eastAsia"/>
        </w:rPr>
        <w:t xml:space="preserve"> 负责校本部</w:t>
      </w:r>
      <w:r>
        <w:rPr>
          <w:rFonts w:hint="eastAsia"/>
          <w:lang w:eastAsia="zh-CN"/>
        </w:rPr>
        <w:t>公共科研实验</w:t>
      </w:r>
      <w:r>
        <w:rPr>
          <w:rFonts w:hint="eastAsia"/>
        </w:rPr>
        <w:t>的安全工作。具体的实验室为： </w:t>
      </w:r>
      <w:r>
        <w:rPr>
          <w:rFonts w:hint="eastAsia"/>
          <w:lang w:eastAsia="zh-CN"/>
        </w:rPr>
        <w:t>北校区</w:t>
      </w:r>
      <w:r>
        <w:rPr>
          <w:rFonts w:hint="eastAsia"/>
          <w:lang w:val="en-US" w:eastAsia="zh-CN"/>
        </w:rPr>
        <w:t>7#207、311、313、318、509</w:t>
      </w:r>
      <w:r>
        <w:rPr>
          <w:rFonts w:hint="eastAsia"/>
        </w:rPr>
        <w:t>。</w:t>
      </w:r>
    </w:p>
    <w:p>
      <w:pPr>
        <w:ind w:firstLine="420" w:firstLineChars="200"/>
        <w:rPr>
          <w:rFonts w:hint="eastAsia"/>
        </w:rPr>
      </w:pPr>
      <w:r>
        <w:rPr>
          <w:rFonts w:hint="eastAsia"/>
          <w:lang w:eastAsia="zh-CN"/>
        </w:rPr>
        <w:t>王利</w:t>
      </w:r>
      <w:r>
        <w:rPr>
          <w:rFonts w:hint="eastAsia"/>
        </w:rPr>
        <w:t xml:space="preserve"> 主要负责南校区所辖实验室的安全工作，具体的实验室为： A-50</w:t>
      </w:r>
      <w:r>
        <w:rPr>
          <w:rFonts w:hint="eastAsia"/>
          <w:lang w:val="en-US" w:eastAsia="zh-CN"/>
        </w:rPr>
        <w:t>2</w:t>
      </w:r>
      <w:r>
        <w:rPr>
          <w:rFonts w:hint="eastAsia"/>
        </w:rPr>
        <w:t>，A-504，A-5</w:t>
      </w:r>
      <w:r>
        <w:rPr>
          <w:rFonts w:hint="eastAsia"/>
          <w:lang w:val="en-US" w:eastAsia="zh-CN"/>
        </w:rPr>
        <w:t>1</w:t>
      </w:r>
      <w:r>
        <w:rPr>
          <w:rFonts w:hint="eastAsia"/>
        </w:rPr>
        <w:t>0，A-512，A-515，A-51</w:t>
      </w:r>
      <w:r>
        <w:rPr>
          <w:rFonts w:hint="eastAsia"/>
          <w:lang w:val="en-US" w:eastAsia="zh-CN"/>
        </w:rPr>
        <w:t>7</w:t>
      </w:r>
      <w:r>
        <w:rPr>
          <w:rFonts w:hint="eastAsia"/>
        </w:rPr>
        <w:t>。</w:t>
      </w:r>
    </w:p>
    <w:p>
      <w:pPr>
        <w:ind w:firstLine="420" w:firstLineChars="200"/>
        <w:rPr>
          <w:rFonts w:hint="eastAsia"/>
        </w:rPr>
      </w:pPr>
      <w:r>
        <w:rPr>
          <w:rFonts w:hint="eastAsia"/>
        </w:rPr>
        <w:t>杜明芸主要负责南校区《树木标本室》、校本部《园林植物标本室》及所辖实验室的安全工作。负责的具体实验室为：</w:t>
      </w:r>
      <w:r>
        <w:rPr>
          <w:rFonts w:hint="eastAsia"/>
          <w:lang w:eastAsia="zh-CN"/>
        </w:rPr>
        <w:t>南校</w:t>
      </w:r>
      <w:r>
        <w:rPr>
          <w:rFonts w:hint="eastAsia"/>
        </w:rPr>
        <w:t>A—508、A—505</w:t>
      </w:r>
      <w:r>
        <w:rPr>
          <w:rFonts w:hint="eastAsia"/>
          <w:lang w:eastAsia="zh-CN"/>
        </w:rPr>
        <w:t>、</w:t>
      </w:r>
      <w:r>
        <w:rPr>
          <w:rFonts w:hint="eastAsia"/>
          <w:lang w:val="en-US" w:eastAsia="zh-CN"/>
        </w:rPr>
        <w:t>A-513、A519、A521、B323</w:t>
      </w:r>
      <w:r>
        <w:rPr>
          <w:rFonts w:hint="eastAsia"/>
        </w:rPr>
        <w:t>。</w:t>
      </w:r>
    </w:p>
    <w:p>
      <w:pPr>
        <w:ind w:firstLine="420" w:firstLineChars="200"/>
        <w:rPr>
          <w:rFonts w:hint="eastAsia"/>
        </w:rPr>
      </w:pPr>
      <w:r>
        <w:rPr>
          <w:rFonts w:hint="eastAsia"/>
        </w:rPr>
        <w:t xml:space="preserve">段祖安主要负责南校区所辖实验室的安全工作，具体负责A-501，A-506，A-507， </w:t>
      </w:r>
      <w:r>
        <w:rPr>
          <w:rFonts w:hint="eastAsia"/>
          <w:lang w:val="en-US" w:eastAsia="zh-CN"/>
        </w:rPr>
        <w:t>A-509、</w:t>
      </w:r>
      <w:r>
        <w:rPr>
          <w:rFonts w:hint="eastAsia"/>
        </w:rPr>
        <w:t>A-511，A-514，A-516。</w:t>
      </w:r>
    </w:p>
    <w:p>
      <w:pPr>
        <w:ind w:firstLine="420" w:firstLineChars="200"/>
        <w:rPr>
          <w:rFonts w:hint="eastAsia"/>
        </w:rPr>
      </w:pPr>
      <w:r>
        <w:rPr>
          <w:rFonts w:hint="eastAsia"/>
        </w:rPr>
        <w:t>贾万达</w:t>
      </w:r>
      <w:r>
        <w:rPr>
          <w:rFonts w:hint="eastAsia"/>
          <w:lang w:eastAsia="zh-CN"/>
        </w:rPr>
        <w:t>、王树梅</w:t>
      </w:r>
      <w:r>
        <w:rPr>
          <w:rFonts w:hint="eastAsia"/>
        </w:rPr>
        <w:t>负责南校区所有木材实验室的安全应急工作。</w:t>
      </w:r>
    </w:p>
    <w:p>
      <w:pPr>
        <w:ind w:firstLine="420" w:firstLineChars="200"/>
        <w:rPr>
          <w:rFonts w:hint="eastAsia"/>
        </w:rPr>
      </w:pPr>
      <w:r>
        <w:rPr>
          <w:rFonts w:hint="eastAsia"/>
        </w:rPr>
        <w:t>孟凡志、张明忠负责南校区实验教学基地的安全应急工作。</w:t>
      </w:r>
    </w:p>
    <w:p>
      <w:pPr>
        <w:ind w:firstLine="420" w:firstLineChars="200"/>
        <w:rPr>
          <w:rFonts w:hint="eastAsia" w:eastAsiaTheme="minorEastAsia"/>
          <w:lang w:eastAsia="zh-CN"/>
        </w:rPr>
      </w:pPr>
      <w:r>
        <w:rPr>
          <w:rFonts w:hint="eastAsia"/>
          <w:lang w:eastAsia="zh-CN"/>
        </w:rPr>
        <w:t>强薇负责制图绘画实验教学中心的</w:t>
      </w:r>
      <w:r>
        <w:rPr>
          <w:rFonts w:hint="eastAsia"/>
        </w:rPr>
        <w:t>安全应急工作</w:t>
      </w:r>
      <w:r>
        <w:rPr>
          <w:rFonts w:hint="eastAsia"/>
          <w:lang w:eastAsia="zh-CN"/>
        </w:rPr>
        <w:t>。</w:t>
      </w:r>
    </w:p>
    <w:p>
      <w:pPr>
        <w:ind w:firstLine="420" w:firstLineChars="200"/>
        <w:rPr>
          <w:rFonts w:hint="eastAsia"/>
        </w:rPr>
      </w:pPr>
      <w:r>
        <w:rPr>
          <w:rFonts w:hint="eastAsia"/>
        </w:rPr>
        <w:t>其余实验室、研究室由分管的教师负责。</w:t>
      </w:r>
    </w:p>
    <w:p>
      <w:pPr>
        <w:ind w:firstLine="420" w:firstLineChars="200"/>
        <w:rPr>
          <w:rFonts w:hint="eastAsia"/>
        </w:rPr>
      </w:pPr>
      <w:r>
        <w:rPr>
          <w:rFonts w:hint="eastAsia"/>
          <w:lang w:eastAsia="zh-CN"/>
        </w:rPr>
        <w:t>（二）</w:t>
      </w:r>
      <w:r>
        <w:rPr>
          <w:rFonts w:hint="eastAsia"/>
        </w:rPr>
        <w:t>事故初起阶段，在研究室负责人、实验教学中心主任、现场教师或实验技术人员的领导下，由实验室工作人员和学生协同处置突发事件。实验中心主任或研究室负责人无法处置的安全事故，立即通知学院领导，由学院应急处置工作小组负责指挥、协调。学院无法单独处置的突发安全事故，已造成人员伤亡，或不及时处置可能导致人员伤亡及重大财产损失的突发安全事故，由学校安全事故应急处置指挥小组处置。</w:t>
      </w:r>
    </w:p>
    <w:p>
      <w:pPr>
        <w:ind w:firstLine="420" w:firstLineChars="200"/>
        <w:rPr>
          <w:rFonts w:hint="eastAsia"/>
        </w:rPr>
      </w:pPr>
      <w:r>
        <w:rPr>
          <w:rFonts w:hint="eastAsia"/>
        </w:rPr>
        <w:t>（</w:t>
      </w:r>
      <w:r>
        <w:rPr>
          <w:rFonts w:hint="eastAsia"/>
          <w:lang w:eastAsia="zh-CN"/>
        </w:rPr>
        <w:t>三</w:t>
      </w:r>
      <w:r>
        <w:rPr>
          <w:rFonts w:hint="eastAsia"/>
        </w:rPr>
        <w:t>）发现</w:t>
      </w:r>
      <w:r>
        <w:rPr>
          <w:rFonts w:hint="eastAsia"/>
          <w:lang w:eastAsia="zh-CN"/>
        </w:rPr>
        <w:t>安全</w:t>
      </w:r>
      <w:r>
        <w:rPr>
          <w:rFonts w:hint="eastAsia"/>
        </w:rPr>
        <w:t>事故时迅速、准确报警和报告。</w:t>
      </w:r>
    </w:p>
    <w:p>
      <w:pPr>
        <w:ind w:firstLine="420" w:firstLineChars="200"/>
        <w:rPr>
          <w:rFonts w:hint="eastAsia"/>
        </w:rPr>
      </w:pPr>
      <w:r>
        <w:rPr>
          <w:rFonts w:hint="eastAsia"/>
        </w:rPr>
        <w:t>校内有关单位电话：</w:t>
      </w:r>
    </w:p>
    <w:p>
      <w:pPr>
        <w:ind w:firstLine="420" w:firstLineChars="200"/>
        <w:rPr>
          <w:rFonts w:hint="eastAsia"/>
        </w:rPr>
      </w:pPr>
      <w:r>
        <w:rPr>
          <w:rFonts w:hint="eastAsia"/>
        </w:rPr>
        <w:t>学校公安处处长室 2910    学校消防办 1903   校医院 2715、2337</w:t>
      </w:r>
    </w:p>
    <w:p>
      <w:pPr>
        <w:ind w:firstLine="420" w:firstLineChars="200"/>
        <w:rPr>
          <w:rFonts w:hint="eastAsia"/>
        </w:rPr>
      </w:pPr>
      <w:r>
        <w:rPr>
          <w:rFonts w:hint="eastAsia"/>
        </w:rPr>
        <w:t>教务处分管处长室 2264    教务处实验管理科   2378</w:t>
      </w:r>
    </w:p>
    <w:p>
      <w:pPr>
        <w:ind w:firstLine="420" w:firstLineChars="200"/>
        <w:rPr>
          <w:rFonts w:hint="eastAsia"/>
        </w:rPr>
      </w:pPr>
      <w:r>
        <w:rPr>
          <w:rFonts w:hint="eastAsia"/>
        </w:rPr>
        <w:t>林学院办公室 2216、8136     林学院实验教学中心 8137、2986</w:t>
      </w:r>
    </w:p>
    <w:p>
      <w:pPr>
        <w:ind w:firstLine="420" w:firstLineChars="200"/>
        <w:rPr>
          <w:rFonts w:hint="eastAsia"/>
        </w:rPr>
      </w:pPr>
      <w:r>
        <w:rPr>
          <w:rFonts w:hint="eastAsia"/>
        </w:rPr>
        <w:t>校外有关单位电话：</w:t>
      </w:r>
    </w:p>
    <w:p>
      <w:pPr>
        <w:ind w:firstLine="420" w:firstLineChars="200"/>
        <w:rPr>
          <w:rFonts w:hint="eastAsia"/>
        </w:rPr>
      </w:pPr>
      <w:r>
        <w:rPr>
          <w:rFonts w:hint="eastAsia"/>
        </w:rPr>
        <w:t>泰安市第一人民医院急病救护 8221120    泰安市中心医院急病救护   8224161</w:t>
      </w:r>
    </w:p>
    <w:p>
      <w:pPr>
        <w:ind w:firstLine="420" w:firstLineChars="200"/>
        <w:rPr>
          <w:rFonts w:hint="eastAsia"/>
        </w:rPr>
      </w:pPr>
      <w:r>
        <w:rPr>
          <w:rFonts w:hint="eastAsia"/>
        </w:rPr>
        <w:t>泰安市煤气报警电话  8227085          泰安煤气维修  8224091</w:t>
      </w:r>
    </w:p>
    <w:p>
      <w:pPr>
        <w:ind w:firstLine="420" w:firstLineChars="200"/>
        <w:rPr>
          <w:rFonts w:hint="eastAsia"/>
        </w:rPr>
      </w:pPr>
    </w:p>
    <w:p>
      <w:pPr>
        <w:rPr>
          <w:rFonts w:hint="eastAsia"/>
        </w:rPr>
      </w:pPr>
      <w:r>
        <w:rPr>
          <w:rFonts w:hint="eastAsia"/>
        </w:rPr>
        <w:t>三、运行机制</w:t>
      </w:r>
    </w:p>
    <w:p>
      <w:pPr>
        <w:rPr>
          <w:rFonts w:hint="eastAsia"/>
        </w:rPr>
      </w:pPr>
      <w:r>
        <w:rPr>
          <w:rFonts w:hint="eastAsia"/>
        </w:rPr>
        <w:t>（一）预防</w:t>
      </w:r>
    </w:p>
    <w:p>
      <w:pPr>
        <w:ind w:firstLine="420" w:firstLineChars="200"/>
        <w:rPr>
          <w:rFonts w:hint="eastAsia"/>
        </w:rPr>
      </w:pPr>
      <w:r>
        <w:rPr>
          <w:rFonts w:hint="eastAsia"/>
        </w:rPr>
        <w:t>1.实验室工作人员针对各种可能发生的突发事故，首先完善预防、预警机制，开展风险评估分析，做到早防范、早发现、早报告、早处置。</w:t>
      </w:r>
    </w:p>
    <w:p>
      <w:pPr>
        <w:ind w:firstLine="420" w:firstLineChars="200"/>
        <w:rPr>
          <w:rFonts w:hint="eastAsia"/>
        </w:rPr>
      </w:pPr>
      <w:r>
        <w:rPr>
          <w:rFonts w:hint="eastAsia"/>
        </w:rPr>
        <w:t>2.加强实验室标准化建设，由实验教学中心主任、研究室负责人对实验设备配置、个人防护、应急设备器具、实验室安全行为、安全操作规程等做出明确规定。</w:t>
      </w:r>
    </w:p>
    <w:p>
      <w:pPr>
        <w:ind w:firstLine="420" w:firstLineChars="200"/>
        <w:rPr>
          <w:rFonts w:hint="eastAsia"/>
        </w:rPr>
      </w:pPr>
      <w:r>
        <w:rPr>
          <w:rFonts w:hint="eastAsia"/>
        </w:rPr>
        <w:t>3.建立实验室病原微生物专库，有毒有害化学试剂储存室。对传染性病原微生物样本，加热设备，压力容器，放射性同位素及射线装置，剧毒、高毒、强酸、致癌、易燃、易爆等危险品建立严格的管理制度和使用登记制度。</w:t>
      </w:r>
    </w:p>
    <w:p>
      <w:pPr>
        <w:ind w:firstLine="420" w:firstLineChars="200"/>
        <w:rPr>
          <w:rFonts w:hint="eastAsia"/>
        </w:rPr>
      </w:pPr>
      <w:r>
        <w:rPr>
          <w:rFonts w:hint="eastAsia"/>
        </w:rPr>
        <w:t>4.增强师生的安全意识，落实安全管理责任，加强日常安全巡查，及时消除安全隐患。</w:t>
      </w:r>
    </w:p>
    <w:p>
      <w:pPr>
        <w:ind w:firstLine="420" w:firstLineChars="200"/>
        <w:rPr>
          <w:rFonts w:hint="eastAsia"/>
        </w:rPr>
      </w:pPr>
      <w:r>
        <w:rPr>
          <w:rFonts w:hint="eastAsia"/>
        </w:rPr>
        <w:t>5.加强应急反应机制的日常管理，在实践中经常演练和完善应急处置预案。</w:t>
      </w:r>
    </w:p>
    <w:p>
      <w:pPr>
        <w:ind w:firstLine="420" w:firstLineChars="200"/>
        <w:rPr>
          <w:rFonts w:hint="eastAsia"/>
        </w:rPr>
      </w:pPr>
      <w:r>
        <w:rPr>
          <w:rFonts w:hint="eastAsia"/>
        </w:rPr>
        <w:t>6.实验教学中心主任、研究室负责人要加强实验人员的培训教育，提高应对突发事故的实战能力。</w:t>
      </w:r>
    </w:p>
    <w:p>
      <w:pPr>
        <w:rPr>
          <w:rFonts w:hint="eastAsia"/>
        </w:rPr>
      </w:pPr>
      <w:r>
        <w:rPr>
          <w:rFonts w:hint="eastAsia"/>
        </w:rPr>
        <w:t>（二）预警</w:t>
      </w:r>
    </w:p>
    <w:p>
      <w:pPr>
        <w:ind w:firstLine="420" w:firstLineChars="200"/>
        <w:rPr>
          <w:rFonts w:hint="eastAsia"/>
        </w:rPr>
      </w:pPr>
      <w:r>
        <w:rPr>
          <w:rFonts w:hint="eastAsia"/>
        </w:rPr>
        <w:t>1.建立有效的预警机制，为各种危险品建立档案和使用记录，发现遗失、不当存放，立即处置。</w:t>
      </w:r>
    </w:p>
    <w:p>
      <w:pPr>
        <w:ind w:firstLine="420" w:firstLineChars="200"/>
        <w:rPr>
          <w:rFonts w:hint="eastAsia"/>
        </w:rPr>
      </w:pPr>
      <w:r>
        <w:rPr>
          <w:rFonts w:hint="eastAsia"/>
        </w:rPr>
        <w:t>2.重视实验人员健康检查，发现与实验室生物安全有关人员感染或伤害立即报告、处置。</w:t>
      </w:r>
    </w:p>
    <w:p>
      <w:pPr>
        <w:ind w:firstLine="420" w:firstLineChars="200"/>
        <w:rPr>
          <w:rFonts w:hint="eastAsia"/>
        </w:rPr>
      </w:pPr>
      <w:r>
        <w:rPr>
          <w:rFonts w:hint="eastAsia"/>
        </w:rPr>
        <w:t>3.严格执行安全巡查制度，及时发现、消除隐患，对存在不安全行为的人员，有安全隐患的设备设施、用品用具，及时发出书面预警通知，提醒相关人员提高警惕。</w:t>
      </w:r>
    </w:p>
    <w:p>
      <w:pPr>
        <w:rPr>
          <w:rFonts w:hint="eastAsia"/>
        </w:rPr>
      </w:pPr>
      <w:r>
        <w:rPr>
          <w:rFonts w:hint="eastAsia"/>
        </w:rPr>
        <w:t>（三）安全状态监测</w:t>
      </w:r>
    </w:p>
    <w:p>
      <w:pPr>
        <w:ind w:firstLine="420" w:firstLineChars="200"/>
        <w:rPr>
          <w:rFonts w:hint="eastAsia"/>
        </w:rPr>
      </w:pPr>
      <w:r>
        <w:rPr>
          <w:rFonts w:hint="eastAsia"/>
        </w:rPr>
        <w:t>1.实验室日常工作中，与实验有关的所有人员均有义务对实验室安全状况进行监督、检查、举报，对举报有功人员由学院进行奖励。</w:t>
      </w:r>
    </w:p>
    <w:p>
      <w:pPr>
        <w:ind w:firstLine="420" w:firstLineChars="200"/>
        <w:rPr>
          <w:rFonts w:hint="eastAsia"/>
        </w:rPr>
      </w:pPr>
      <w:r>
        <w:rPr>
          <w:rFonts w:hint="eastAsia"/>
        </w:rPr>
        <w:t>2.实验过程中，注意监控实验室内状况，包括仪器主机、附件，特别是气体贮存容器及其主要连接件（管路、阀门等）是否正常；水、电、气状态是否正常；实验室内有无异常气味、响声；（非正常）火苗、火花；空气中有无不明烟雾，地面上有无不明液体、固体等。</w:t>
      </w:r>
    </w:p>
    <w:p>
      <w:pPr>
        <w:ind w:firstLine="420" w:firstLineChars="200"/>
        <w:rPr>
          <w:rFonts w:hint="eastAsia"/>
        </w:rPr>
      </w:pPr>
      <w:r>
        <w:rPr>
          <w:rFonts w:hint="eastAsia"/>
        </w:rPr>
        <w:t>3.仪器设备检查由实验操作人员定期进行。包括对仪器设备电气性能的评估；对装载易燃气体钢瓶或其他容器的安全检测；对化学试剂存放使用的安全性检查；对实验室水、电、气运行状况的检查等。</w:t>
      </w:r>
    </w:p>
    <w:p>
      <w:pPr>
        <w:rPr>
          <w:rFonts w:hint="eastAsia"/>
        </w:rPr>
      </w:pPr>
      <w:r>
        <w:rPr>
          <w:rFonts w:hint="eastAsia"/>
        </w:rPr>
        <w:t>（四）信息报告</w:t>
      </w:r>
    </w:p>
    <w:p>
      <w:pPr>
        <w:ind w:firstLine="420" w:firstLineChars="200"/>
        <w:rPr>
          <w:rFonts w:hint="eastAsia"/>
        </w:rPr>
      </w:pPr>
      <w:r>
        <w:rPr>
          <w:rFonts w:hint="eastAsia"/>
        </w:rPr>
        <w:t xml:space="preserve">突发安全事故发生后，现场人员应在自救的同时立即向所在单位负责人汇报，及时启动应急预案。如经初步处理仍无法控制，要立即通知学院领导、学校公安处、地方应急处置单位等，请求协同处理。事故基本控制后，及时对突发事故进行侦测、调查，综合评估，控制危害蔓延。 </w:t>
      </w:r>
    </w:p>
    <w:p>
      <w:pPr>
        <w:rPr>
          <w:rFonts w:hint="eastAsia"/>
        </w:rPr>
      </w:pPr>
      <w:r>
        <w:rPr>
          <w:rFonts w:hint="eastAsia"/>
        </w:rPr>
        <w:t>四、部分安全事故应急处置措施</w:t>
      </w:r>
    </w:p>
    <w:p>
      <w:pPr>
        <w:rPr>
          <w:rFonts w:hint="eastAsia"/>
        </w:rPr>
      </w:pPr>
      <w:r>
        <w:rPr>
          <w:rFonts w:hint="eastAsia"/>
        </w:rPr>
        <w:t>（一）致病性病原微生物传播应急处置</w:t>
      </w:r>
    </w:p>
    <w:p>
      <w:pPr>
        <w:ind w:firstLine="420" w:firstLineChars="200"/>
        <w:rPr>
          <w:rFonts w:hint="eastAsia"/>
        </w:rPr>
      </w:pPr>
      <w:r>
        <w:rPr>
          <w:rFonts w:hint="eastAsia"/>
        </w:rPr>
        <w:t>1.实验室突发事故应急救援小组接到传播报告后，立即组织人员对传播事故进行确认，并对传播的病原体性质及扩散范围进行充分评估。</w:t>
      </w:r>
    </w:p>
    <w:p>
      <w:pPr>
        <w:ind w:firstLine="420" w:firstLineChars="200"/>
        <w:rPr>
          <w:rFonts w:hint="eastAsia"/>
        </w:rPr>
      </w:pPr>
      <w:r>
        <w:rPr>
          <w:rFonts w:hint="eastAsia"/>
        </w:rPr>
        <w:t>2.立即封存致病性病原微生物标本，防止微生物扩散。</w:t>
      </w:r>
    </w:p>
    <w:p>
      <w:pPr>
        <w:ind w:firstLine="420" w:firstLineChars="200"/>
        <w:rPr>
          <w:rFonts w:hint="eastAsia"/>
        </w:rPr>
      </w:pPr>
      <w:r>
        <w:rPr>
          <w:rFonts w:hint="eastAsia"/>
        </w:rPr>
        <w:t>3.对相关人员进行医学检查，对密切接触者进行医学观察并留取本底血清或相关标本。</w:t>
      </w:r>
    </w:p>
    <w:p>
      <w:pPr>
        <w:ind w:firstLine="420" w:firstLineChars="200"/>
        <w:rPr>
          <w:rFonts w:hint="eastAsia"/>
        </w:rPr>
      </w:pPr>
      <w:r>
        <w:rPr>
          <w:rFonts w:hint="eastAsia"/>
        </w:rPr>
        <w:t>4.对造成污染的工作环境及污染物进行消毒。</w:t>
      </w:r>
    </w:p>
    <w:p>
      <w:pPr>
        <w:ind w:firstLine="420" w:firstLineChars="200"/>
        <w:rPr>
          <w:rFonts w:hint="eastAsia"/>
        </w:rPr>
      </w:pPr>
      <w:r>
        <w:rPr>
          <w:rFonts w:hint="eastAsia"/>
        </w:rPr>
        <w:t>5.配合医院等有关部门开展进一步调查。</w:t>
      </w:r>
    </w:p>
    <w:p>
      <w:pPr>
        <w:rPr>
          <w:rFonts w:hint="eastAsia"/>
        </w:rPr>
      </w:pPr>
      <w:r>
        <w:rPr>
          <w:rFonts w:hint="eastAsia"/>
        </w:rPr>
        <w:t>（二）试剂操作安全事故应急处置</w:t>
      </w:r>
    </w:p>
    <w:p>
      <w:pPr>
        <w:ind w:firstLine="420" w:firstLineChars="200"/>
        <w:rPr>
          <w:rFonts w:hint="eastAsia"/>
        </w:rPr>
      </w:pPr>
      <w:r>
        <w:rPr>
          <w:rFonts w:hint="eastAsia"/>
        </w:rPr>
        <w:t>1.强碱腐蚀。先用大量水冲洗，再用2%醋酸溶液或饱和硼酸溶液清洗，然后再用水冲洗。若溅入眼内，用硼酸溶液冲洗。</w:t>
      </w:r>
    </w:p>
    <w:p>
      <w:pPr>
        <w:ind w:firstLine="420" w:firstLineChars="200"/>
        <w:rPr>
          <w:rFonts w:hint="eastAsia"/>
        </w:rPr>
      </w:pPr>
      <w:r>
        <w:rPr>
          <w:rFonts w:hint="eastAsia"/>
        </w:rPr>
        <w:t>2.强酸腐蚀。先用干净毛巾擦净伤处，用大量水冲洗，然后用饱和碳酸氢钠溶液(或稀氨水、肥皂水)冲洗，再用水冲洗，最后涂上甘油。若溅入眼内，先用大量水冲洗，再用碳酸氢钠溶液冲洗，严重者送医院治疗。</w:t>
      </w:r>
    </w:p>
    <w:p>
      <w:pPr>
        <w:ind w:firstLine="420" w:firstLineChars="200"/>
        <w:rPr>
          <w:rFonts w:hint="eastAsia"/>
        </w:rPr>
      </w:pPr>
      <w:r>
        <w:rPr>
          <w:rFonts w:hint="eastAsia"/>
        </w:rPr>
        <w:t>3.液溴腐蚀。应立即用大量水冲洗，再用甘油或酒精洗涤伤处。</w:t>
      </w:r>
    </w:p>
    <w:p>
      <w:pPr>
        <w:ind w:firstLine="420" w:firstLineChars="200"/>
        <w:rPr>
          <w:rFonts w:hint="eastAsia"/>
        </w:rPr>
      </w:pPr>
      <w:r>
        <w:rPr>
          <w:rFonts w:hint="eastAsia"/>
        </w:rPr>
        <w:t>4.氢氟酸腐蚀。先用大量冷水冲洗，再以碳酸氢钠溶液冲洗，然后用甘油氧化镁涂在纱布上包扎。</w:t>
      </w:r>
    </w:p>
    <w:p>
      <w:pPr>
        <w:ind w:firstLine="420" w:firstLineChars="200"/>
        <w:rPr>
          <w:rFonts w:hint="eastAsia"/>
        </w:rPr>
      </w:pPr>
      <w:r>
        <w:rPr>
          <w:rFonts w:hint="eastAsia"/>
        </w:rPr>
        <w:t>5.苯酚腐蚀。先用大量水冲洗，再用4体积10％的酒精与1体积三氯化铁混合液冲洗。</w:t>
      </w:r>
    </w:p>
    <w:p>
      <w:pPr>
        <w:ind w:firstLine="420" w:firstLineChars="200"/>
        <w:rPr>
          <w:rFonts w:hint="eastAsia"/>
        </w:rPr>
      </w:pPr>
      <w:r>
        <w:rPr>
          <w:rFonts w:hint="eastAsia"/>
        </w:rPr>
        <w:t>6.误吞毒物。常用的解毒方法有：给中毒者服催吐剂，如肥皂水；灌水或服鸡蛋白、牛奶和食物油等，以缓和刺激，随后用干净手指伸入喉部，引起呕吐。注意磷中毒者不能喝牛奶，可用5—10毫升1％硫酸铜溶液加入一杯温开水内服，引起呕吐，然后送医院治疗。</w:t>
      </w:r>
    </w:p>
    <w:p>
      <w:pPr>
        <w:rPr>
          <w:rFonts w:hint="eastAsia"/>
        </w:rPr>
      </w:pPr>
      <w:r>
        <w:rPr>
          <w:rFonts w:hint="eastAsia"/>
        </w:rPr>
        <w:t>（四）仪器设备安全事故应急处置</w:t>
      </w:r>
    </w:p>
    <w:p>
      <w:pPr>
        <w:ind w:firstLine="420" w:firstLineChars="200"/>
        <w:rPr>
          <w:rFonts w:hint="eastAsia"/>
        </w:rPr>
      </w:pPr>
      <w:r>
        <w:rPr>
          <w:rFonts w:hint="eastAsia"/>
        </w:rPr>
        <w:t>1.金属外壳的仪器设备要有充分的接地保护，如仪器设备漏电导致人员触电，首先切断电源，若来不及切断电源，可用绝缘物挑开电线，在未切断电源之前，切不可用手拉触电者，也不能用金属或潮湿的物品挑电线。触电者出现休克现象时，应立即进行人工呼吸，并通知医院治疗。</w:t>
      </w:r>
    </w:p>
    <w:p>
      <w:pPr>
        <w:ind w:firstLine="420" w:firstLineChars="200"/>
        <w:rPr>
          <w:rFonts w:hint="eastAsia"/>
        </w:rPr>
      </w:pPr>
      <w:r>
        <w:rPr>
          <w:rFonts w:hint="eastAsia"/>
        </w:rPr>
        <w:t>2.仪器使用中的容器破碎及污染物质溢出，立刻戴上防护手套，按照仪器的标准作业程序关机，清理污染物及破碎玻璃，再对仪器进行消毒清洗，同时告知其他人员注意。</w:t>
      </w:r>
    </w:p>
    <w:p>
      <w:pPr>
        <w:rPr>
          <w:rFonts w:hint="eastAsia"/>
        </w:rPr>
      </w:pPr>
      <w:r>
        <w:rPr>
          <w:rFonts w:hint="eastAsia"/>
        </w:rPr>
        <w:t>（五）火灾事故应急处置</w:t>
      </w:r>
    </w:p>
    <w:p>
      <w:pPr>
        <w:ind w:firstLine="420" w:firstLineChars="200"/>
        <w:rPr>
          <w:rFonts w:hint="eastAsia"/>
        </w:rPr>
      </w:pPr>
      <w:r>
        <w:rPr>
          <w:rFonts w:hint="eastAsia"/>
        </w:rPr>
        <w:t>1.实验室应按规定配备灭火器、灭火毯、沙箱、消防栓等消防器材，实验室工作人员必须经常检查消防器材的有效性并熟悉其操作规范，清楚安全通道所在位置。</w:t>
      </w:r>
    </w:p>
    <w:p>
      <w:pPr>
        <w:ind w:firstLine="420" w:firstLineChars="200"/>
        <w:rPr>
          <w:rFonts w:hint="eastAsia"/>
        </w:rPr>
      </w:pPr>
      <w:r>
        <w:rPr>
          <w:rFonts w:hint="eastAsia"/>
        </w:rPr>
        <w:t>2.局部起火，立即使用灭火器、灭火毯、沙箱等灭火；发生大面积火灾，实验人员已无法控制，应立即报警，通知所有人员沿消防通道紧急疏散。同时，立即向消防部门报警，向学院领导报告，有人员受伤时，立即向医疗部门报告，请求支援。人员撤离到预定地点后，实验教师、实验室工作人员、学生干部立即组织清点人数，对未到人员尽快确认所在的位置。</w:t>
      </w:r>
    </w:p>
    <w:p>
      <w:pPr>
        <w:rPr>
          <w:rFonts w:hint="eastAsia"/>
        </w:rPr>
      </w:pPr>
      <w:r>
        <w:rPr>
          <w:rFonts w:hint="eastAsia"/>
        </w:rPr>
        <w:t>（六）污染事故应急处置</w:t>
      </w:r>
    </w:p>
    <w:p>
      <w:pPr>
        <w:ind w:firstLine="420" w:firstLineChars="200"/>
        <w:rPr>
          <w:rFonts w:hint="eastAsia"/>
        </w:rPr>
      </w:pPr>
      <w:r>
        <w:rPr>
          <w:rFonts w:hint="eastAsia"/>
        </w:rPr>
        <w:t>1.实验室发生污染事故后，现场人员立即启动应急预案，通知疏散可能受到危害的人员，并尽快通知实验中心主任或科研实验室负责人，救助受伤人员，尽可能防止污染区扩散。</w:t>
      </w:r>
    </w:p>
    <w:p>
      <w:pPr>
        <w:ind w:firstLine="420" w:firstLineChars="200"/>
        <w:rPr>
          <w:rFonts w:hint="eastAsia"/>
        </w:rPr>
      </w:pPr>
      <w:r>
        <w:rPr>
          <w:rFonts w:hint="eastAsia"/>
        </w:rPr>
        <w:t>2.实验中心主任或科研实验室负责人接到通知后，迅速到达现场，指导相关人员实施紧急救援，如发现事故难以控制，要尽快通知分管院长，并请求相关部门援助。</w:t>
      </w:r>
    </w:p>
    <w:p>
      <w:pPr>
        <w:ind w:firstLine="420" w:firstLineChars="200"/>
        <w:rPr>
          <w:rFonts w:hint="eastAsia"/>
        </w:rPr>
      </w:pPr>
      <w:r>
        <w:rPr>
          <w:rFonts w:hint="eastAsia"/>
        </w:rPr>
        <w:t>3.发生事故的学院领导应针对事故可能造成的危害，封闭、隔离或者限制使用有关场所，中止可能导致危害扩大的行为，组织调集环境应急所需物资和设备，确保处置科学有效。</w:t>
      </w:r>
    </w:p>
    <w:p>
      <w:pPr>
        <w:rPr>
          <w:rFonts w:hint="eastAsia"/>
        </w:rPr>
      </w:pPr>
      <w:r>
        <w:rPr>
          <w:rFonts w:hint="eastAsia"/>
        </w:rPr>
        <w:t>五、应急响应的终止</w:t>
      </w:r>
    </w:p>
    <w:p>
      <w:pPr>
        <w:ind w:firstLine="420" w:firstLineChars="200"/>
        <w:rPr>
          <w:rFonts w:hint="eastAsia"/>
        </w:rPr>
      </w:pPr>
      <w:r>
        <w:rPr>
          <w:rFonts w:hint="eastAsia"/>
        </w:rPr>
        <w:t xml:space="preserve">在突发安全事故得到彻底控制，经突发事故处理指挥小组确定，终止应急状态。 </w:t>
      </w:r>
    </w:p>
    <w:p/>
    <w:p>
      <w:pPr>
        <w:pStyle w:val="8"/>
        <w:keepNext w:val="0"/>
        <w:keepLines w:val="0"/>
        <w:widowControl/>
        <w:suppressLineNumbers w:val="0"/>
        <w:jc w:val="left"/>
      </w:pPr>
    </w:p>
    <w:p>
      <w:pPr>
        <w:pStyle w:val="8"/>
        <w:keepNext w:val="0"/>
        <w:keepLines w:val="0"/>
        <w:widowControl/>
        <w:suppressLineNumbers w:val="0"/>
        <w:ind w:left="0" w:firstLine="4650"/>
        <w:jc w:val="right"/>
      </w:pPr>
      <w:r>
        <w:rPr>
          <w:rFonts w:hint="eastAsia" w:ascii="宋体" w:hAnsi="宋体" w:eastAsia="宋体" w:cs="宋体"/>
          <w:color w:val="000000"/>
          <w:sz w:val="21"/>
          <w:szCs w:val="21"/>
        </w:rPr>
        <w:t>林学院实验教学中心</w:t>
      </w:r>
    </w:p>
    <w:p>
      <w:pPr>
        <w:pStyle w:val="8"/>
        <w:keepNext w:val="0"/>
        <w:keepLines w:val="0"/>
        <w:widowControl/>
        <w:suppressLineNumbers w:val="0"/>
        <w:jc w:val="right"/>
        <w:rPr>
          <w:rFonts w:hint="eastAsia" w:ascii="宋体" w:hAnsi="宋体"/>
          <w:szCs w:val="21"/>
          <w:lang w:eastAsia="zh-CN"/>
        </w:rPr>
        <w:sectPr>
          <w:pgSz w:w="11906" w:h="16838"/>
          <w:pgMar w:top="1327" w:right="1576" w:bottom="1270" w:left="1689" w:header="851" w:footer="992" w:gutter="0"/>
          <w:cols w:space="425" w:num="1"/>
          <w:docGrid w:type="lines" w:linePitch="312" w:charSpace="0"/>
        </w:sectPr>
      </w:pPr>
      <w:r>
        <w:rPr>
          <w:rFonts w:hint="eastAsia" w:ascii="宋体" w:hAnsi="宋体" w:eastAsia="宋体" w:cs="宋体"/>
          <w:color w:val="000000"/>
          <w:sz w:val="21"/>
          <w:szCs w:val="21"/>
        </w:rPr>
        <w:t>20</w:t>
      </w:r>
      <w:r>
        <w:rPr>
          <w:rFonts w:hint="eastAsia" w:cs="宋体"/>
          <w:color w:val="000000"/>
          <w:sz w:val="21"/>
          <w:szCs w:val="21"/>
          <w:lang w:val="en-US" w:eastAsia="zh-CN"/>
        </w:rPr>
        <w:t>20</w:t>
      </w:r>
      <w:r>
        <w:rPr>
          <w:rFonts w:hint="eastAsia" w:ascii="宋体" w:hAnsi="宋体" w:eastAsia="宋体" w:cs="宋体"/>
          <w:color w:val="000000"/>
          <w:sz w:val="21"/>
          <w:szCs w:val="21"/>
        </w:rPr>
        <w:t>年</w:t>
      </w:r>
      <w:r>
        <w:rPr>
          <w:rFonts w:hint="eastAsia" w:cs="宋体"/>
          <w:color w:val="000000"/>
          <w:sz w:val="21"/>
          <w:szCs w:val="21"/>
          <w:lang w:val="en-US" w:eastAsia="zh-CN"/>
        </w:rPr>
        <w:t>3</w:t>
      </w:r>
      <w:r>
        <w:rPr>
          <w:rFonts w:hint="eastAsia" w:ascii="宋体" w:hAnsi="宋体" w:eastAsia="宋体" w:cs="宋体"/>
          <w:color w:val="000000"/>
          <w:sz w:val="21"/>
          <w:szCs w:val="21"/>
        </w:rPr>
        <w:t>月12日</w:t>
      </w:r>
    </w:p>
    <w:p>
      <w:pPr>
        <w:spacing w:line="0" w:lineRule="atLeas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易制爆危险化学品名录（2017年版）</w:t>
      </w:r>
    </w:p>
    <w:p>
      <w:pPr>
        <w:ind w:firstLine="640"/>
        <w:jc w:val="center"/>
        <w:rPr>
          <w:rFonts w:ascii="Times New Roman" w:hAnsi="Times New Roman" w:eastAsia="方正仿宋_GBK"/>
        </w:rPr>
      </w:pP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605"/>
        <w:gridCol w:w="1557"/>
        <w:gridCol w:w="8"/>
        <w:gridCol w:w="1793"/>
        <w:gridCol w:w="40"/>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07" w:type="dxa"/>
            <w:noWrap w:val="0"/>
            <w:vAlign w:val="bottom"/>
          </w:tcPr>
          <w:p>
            <w:pPr>
              <w:ind w:firstLine="0" w:firstLineChars="0"/>
              <w:jc w:val="center"/>
              <w:rPr>
                <w:rFonts w:ascii="Times New Roman" w:hAnsi="Times New Roman"/>
                <w:sz w:val="28"/>
                <w:szCs w:val="28"/>
              </w:rPr>
            </w:pPr>
            <w:r>
              <w:rPr>
                <w:rFonts w:ascii="Times New Roman" w:hAnsi="Times New Roman"/>
                <w:sz w:val="28"/>
                <w:szCs w:val="28"/>
              </w:rPr>
              <w:t>序号</w:t>
            </w:r>
          </w:p>
        </w:tc>
        <w:tc>
          <w:tcPr>
            <w:tcW w:w="1605" w:type="dxa"/>
            <w:noWrap w:val="0"/>
            <w:vAlign w:val="bottom"/>
          </w:tcPr>
          <w:p>
            <w:pPr>
              <w:ind w:firstLine="0" w:firstLineChars="0"/>
              <w:jc w:val="center"/>
              <w:rPr>
                <w:rFonts w:ascii="Times New Roman" w:hAnsi="Times New Roman"/>
                <w:sz w:val="28"/>
                <w:szCs w:val="28"/>
              </w:rPr>
            </w:pPr>
            <w:r>
              <w:rPr>
                <w:rFonts w:ascii="Times New Roman" w:hAnsi="Times New Roman"/>
                <w:sz w:val="28"/>
                <w:szCs w:val="28"/>
              </w:rPr>
              <w:t>品名</w:t>
            </w:r>
          </w:p>
        </w:tc>
        <w:tc>
          <w:tcPr>
            <w:tcW w:w="1557" w:type="dxa"/>
            <w:noWrap w:val="0"/>
            <w:vAlign w:val="bottom"/>
          </w:tcPr>
          <w:p>
            <w:pPr>
              <w:ind w:firstLine="0" w:firstLineChars="0"/>
              <w:jc w:val="center"/>
              <w:rPr>
                <w:rFonts w:ascii="Times New Roman" w:hAnsi="Times New Roman"/>
                <w:sz w:val="28"/>
                <w:szCs w:val="28"/>
              </w:rPr>
            </w:pPr>
            <w:r>
              <w:rPr>
                <w:rFonts w:ascii="Times New Roman" w:hAnsi="Times New Roman"/>
                <w:sz w:val="28"/>
                <w:szCs w:val="28"/>
              </w:rPr>
              <w:t>别名</w:t>
            </w:r>
          </w:p>
        </w:tc>
        <w:tc>
          <w:tcPr>
            <w:tcW w:w="1841" w:type="dxa"/>
            <w:gridSpan w:val="3"/>
            <w:noWrap w:val="0"/>
            <w:vAlign w:val="bottom"/>
          </w:tcPr>
          <w:p>
            <w:pPr>
              <w:ind w:firstLine="0" w:firstLineChars="0"/>
              <w:jc w:val="center"/>
              <w:rPr>
                <w:rFonts w:ascii="Times New Roman" w:hAnsi="Times New Roman"/>
                <w:sz w:val="28"/>
                <w:szCs w:val="28"/>
              </w:rPr>
            </w:pPr>
            <w:r>
              <w:rPr>
                <w:rFonts w:ascii="Times New Roman" w:hAnsi="Times New Roman"/>
                <w:sz w:val="28"/>
                <w:szCs w:val="28"/>
              </w:rPr>
              <w:t>CAS号</w:t>
            </w:r>
          </w:p>
        </w:tc>
        <w:tc>
          <w:tcPr>
            <w:tcW w:w="2987" w:type="dxa"/>
            <w:noWrap w:val="0"/>
            <w:vAlign w:val="bottom"/>
          </w:tcPr>
          <w:p>
            <w:pPr>
              <w:spacing w:line="0" w:lineRule="atLeast"/>
              <w:ind w:left="11" w:leftChars="-9" w:hanging="30" w:hangingChars="11"/>
              <w:jc w:val="center"/>
              <w:rPr>
                <w:rFonts w:ascii="Times New Roman" w:hAnsi="Times New Roman"/>
                <w:sz w:val="28"/>
                <w:szCs w:val="28"/>
              </w:rPr>
            </w:pPr>
            <w:r>
              <w:rPr>
                <w:rFonts w:ascii="Times New Roman" w:hAnsi="Times New Roman"/>
                <w:sz w:val="28"/>
                <w:szCs w:val="28"/>
              </w:rPr>
              <w:t>主要的燃爆</w:t>
            </w:r>
          </w:p>
          <w:p>
            <w:pPr>
              <w:spacing w:line="0" w:lineRule="atLeast"/>
              <w:ind w:firstLine="0" w:firstLineChars="0"/>
              <w:jc w:val="center"/>
              <w:rPr>
                <w:rFonts w:ascii="Times New Roman" w:hAnsi="Times New Roman"/>
                <w:sz w:val="28"/>
                <w:szCs w:val="28"/>
              </w:rPr>
            </w:pPr>
            <w:r>
              <w:rPr>
                <w:rFonts w:ascii="Times New Roman" w:hAnsi="Times New Roman"/>
                <w:sz w:val="28"/>
                <w:szCs w:val="28"/>
              </w:rPr>
              <w:t>危险性分类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897" w:type="dxa"/>
            <w:gridSpan w:val="7"/>
            <w:noWrap w:val="0"/>
            <w:vAlign w:val="center"/>
          </w:tcPr>
          <w:p>
            <w:pPr>
              <w:spacing w:line="0" w:lineRule="atLeast"/>
              <w:ind w:firstLine="0" w:firstLineChars="0"/>
              <w:rPr>
                <w:rFonts w:ascii="Times New Roman" w:hAnsi="Times New Roman" w:eastAsia="黑体"/>
                <w:sz w:val="28"/>
                <w:szCs w:val="28"/>
              </w:rPr>
            </w:pPr>
            <w:r>
              <w:rPr>
                <w:rFonts w:ascii="Times New Roman" w:hAnsi="Times New Roman" w:eastAsia="黑体"/>
                <w:sz w:val="28"/>
                <w:szCs w:val="28"/>
              </w:rPr>
              <w:t>1 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1.1</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7697-37-2</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1.2</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发烟硝酸</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52583-42-3</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907" w:type="dxa"/>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w:t>
            </w:r>
          </w:p>
        </w:tc>
        <w:tc>
          <w:tcPr>
            <w:tcW w:w="1605" w:type="dxa"/>
            <w:noWrap w:val="0"/>
            <w:vAlign w:val="center"/>
          </w:tcPr>
          <w:p>
            <w:pPr>
              <w:widowControl/>
              <w:spacing w:line="340" w:lineRule="exact"/>
              <w:ind w:firstLine="0" w:firstLineChars="0"/>
              <w:jc w:val="center"/>
              <w:rPr>
                <w:rFonts w:ascii="Times New Roman" w:hAnsi="Times New Roman"/>
                <w:sz w:val="28"/>
                <w:szCs w:val="28"/>
              </w:rPr>
            </w:pPr>
            <w:r>
              <w:rPr>
                <w:rFonts w:ascii="Times New Roman" w:hAnsi="Times New Roman"/>
                <w:sz w:val="28"/>
                <w:szCs w:val="28"/>
              </w:rPr>
              <w:t>高氯酸[浓度＞72%]</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过氯酸</w:t>
            </w:r>
          </w:p>
        </w:tc>
        <w:tc>
          <w:tcPr>
            <w:tcW w:w="1841" w:type="dxa"/>
            <w:gridSpan w:val="3"/>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7601-90-3</w:t>
            </w:r>
          </w:p>
        </w:tc>
        <w:tc>
          <w:tcPr>
            <w:tcW w:w="2987" w:type="dxa"/>
            <w:noWrap w:val="0"/>
            <w:vAlign w:val="center"/>
          </w:tcPr>
          <w:p>
            <w:pPr>
              <w:spacing w:line="0" w:lineRule="atLeast"/>
              <w:ind w:firstLine="25" w:firstLineChars="9"/>
              <w:jc w:val="center"/>
              <w:rPr>
                <w:rFonts w:ascii="Times New Roman" w:hAnsi="Times New Roman"/>
                <w:sz w:val="28"/>
                <w:szCs w:val="28"/>
              </w:rPr>
            </w:pPr>
            <w:r>
              <w:rPr>
                <w:rFonts w:ascii="Times New Roman" w:hAnsi="Times New Roman"/>
                <w:sz w:val="28"/>
                <w:szCs w:val="28"/>
              </w:rPr>
              <w:t>氧化性液体，类别1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07" w:type="dxa"/>
            <w:vMerge w:val="continue"/>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340" w:lineRule="exact"/>
              <w:ind w:firstLine="0" w:firstLineChars="0"/>
              <w:jc w:val="center"/>
              <w:rPr>
                <w:rFonts w:ascii="Times New Roman" w:hAnsi="Times New Roman"/>
                <w:sz w:val="28"/>
                <w:szCs w:val="28"/>
              </w:rPr>
            </w:pPr>
            <w:r>
              <w:rPr>
                <w:rFonts w:ascii="Times New Roman" w:hAnsi="Times New Roman"/>
                <w:sz w:val="28"/>
                <w:szCs w:val="28"/>
              </w:rPr>
              <w:t>高氯酸[浓度50%～72%]</w:t>
            </w:r>
          </w:p>
        </w:tc>
        <w:tc>
          <w:tcPr>
            <w:tcW w:w="1557" w:type="dxa"/>
            <w:noWrap w:val="0"/>
            <w:vAlign w:val="center"/>
          </w:tcPr>
          <w:p>
            <w:pPr>
              <w:spacing w:line="0" w:lineRule="atLeast"/>
              <w:ind w:firstLine="0" w:firstLineChars="0"/>
              <w:jc w:val="center"/>
              <w:rPr>
                <w:rFonts w:ascii="Times New Roman" w:hAnsi="Times New Roman"/>
                <w:sz w:val="28"/>
                <w:szCs w:val="28"/>
              </w:rPr>
            </w:pPr>
          </w:p>
        </w:tc>
        <w:tc>
          <w:tcPr>
            <w:tcW w:w="1841" w:type="dxa"/>
            <w:gridSpan w:val="3"/>
            <w:vMerge w:val="continue"/>
            <w:noWrap w:val="0"/>
            <w:vAlign w:val="center"/>
          </w:tcPr>
          <w:p>
            <w:pPr>
              <w:spacing w:line="0" w:lineRule="atLeast"/>
              <w:ind w:firstLine="560"/>
              <w:jc w:val="center"/>
              <w:rPr>
                <w:rFonts w:ascii="Times New Roman" w:hAnsi="Times New Roman"/>
                <w:sz w:val="28"/>
                <w:szCs w:val="28"/>
              </w:rPr>
            </w:pP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07" w:type="dxa"/>
            <w:vMerge w:val="continue"/>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340" w:lineRule="exact"/>
              <w:ind w:firstLine="0" w:firstLineChars="0"/>
              <w:jc w:val="center"/>
              <w:rPr>
                <w:rFonts w:ascii="Times New Roman" w:hAnsi="Times New Roman"/>
                <w:sz w:val="28"/>
                <w:szCs w:val="28"/>
              </w:rPr>
            </w:pPr>
            <w:r>
              <w:rPr>
                <w:rFonts w:ascii="Times New Roman" w:hAnsi="Times New Roman"/>
                <w:sz w:val="28"/>
                <w:szCs w:val="28"/>
              </w:rPr>
              <w:t>高氯酸[浓度≤50%]</w:t>
            </w:r>
          </w:p>
        </w:tc>
        <w:tc>
          <w:tcPr>
            <w:tcW w:w="1557" w:type="dxa"/>
            <w:noWrap w:val="0"/>
            <w:vAlign w:val="center"/>
          </w:tcPr>
          <w:p>
            <w:pPr>
              <w:spacing w:line="0" w:lineRule="atLeast"/>
              <w:ind w:firstLine="0" w:firstLineChars="0"/>
              <w:jc w:val="center"/>
              <w:rPr>
                <w:rFonts w:ascii="Times New Roman" w:hAnsi="Times New Roman"/>
                <w:sz w:val="28"/>
                <w:szCs w:val="28"/>
              </w:rPr>
            </w:pPr>
          </w:p>
        </w:tc>
        <w:tc>
          <w:tcPr>
            <w:tcW w:w="1841" w:type="dxa"/>
            <w:gridSpan w:val="3"/>
            <w:vMerge w:val="continue"/>
            <w:noWrap w:val="0"/>
            <w:vAlign w:val="center"/>
          </w:tcPr>
          <w:p>
            <w:pPr>
              <w:spacing w:line="0" w:lineRule="atLeast"/>
              <w:ind w:firstLine="560"/>
              <w:jc w:val="center"/>
              <w:rPr>
                <w:rFonts w:ascii="Times New Roman" w:hAnsi="Times New Roman"/>
                <w:sz w:val="28"/>
                <w:szCs w:val="28"/>
              </w:rPr>
            </w:pP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897" w:type="dxa"/>
            <w:gridSpan w:val="7"/>
            <w:noWrap w:val="0"/>
            <w:vAlign w:val="center"/>
          </w:tcPr>
          <w:p>
            <w:pPr>
              <w:spacing w:line="0" w:lineRule="atLeast"/>
              <w:ind w:firstLine="0" w:firstLineChars="0"/>
              <w:jc w:val="left"/>
              <w:rPr>
                <w:rFonts w:ascii="Times New Roman" w:hAnsi="Times New Roman"/>
                <w:sz w:val="28"/>
                <w:szCs w:val="28"/>
              </w:rPr>
            </w:pPr>
            <w:r>
              <w:rPr>
                <w:rFonts w:ascii="Times New Roman" w:hAnsi="Times New Roman" w:eastAsia="黑体"/>
                <w:sz w:val="28"/>
                <w:szCs w:val="28"/>
              </w:rPr>
              <w:t>2 硝酸盐类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2.1</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硝酸钠</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7631-99-4</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2.2</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硝酸钾</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7757-79-1</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2.3</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硝酸铯</w:t>
            </w:r>
          </w:p>
        </w:tc>
        <w:tc>
          <w:tcPr>
            <w:tcW w:w="1557" w:type="dxa"/>
            <w:noWrap w:val="0"/>
            <w:vAlign w:val="center"/>
          </w:tcPr>
          <w:p>
            <w:pPr>
              <w:spacing w:line="0" w:lineRule="atLeast"/>
              <w:ind w:firstLine="0" w:firstLineChars="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7789-18-6</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2.4</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硝酸镁</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10377-60-3</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2.5</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硝酸钙</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10124-37-5</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2.6</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硝酸锶</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10042-76-9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2.7</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硝酸钡</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10022-31-8</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2.8</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硝酸镍</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二硝酸镍</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13138-45-9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2.9</w:t>
            </w:r>
          </w:p>
        </w:tc>
        <w:tc>
          <w:tcPr>
            <w:tcW w:w="1605" w:type="dxa"/>
            <w:noWrap w:val="0"/>
            <w:vAlign w:val="center"/>
          </w:tcPr>
          <w:p>
            <w:pPr>
              <w:spacing w:line="0" w:lineRule="atLeast"/>
              <w:ind w:firstLine="0" w:firstLineChars="0"/>
              <w:jc w:val="center"/>
              <w:rPr>
                <w:rFonts w:ascii="Times New Roman" w:hAnsi="Times New Roman"/>
                <w:sz w:val="28"/>
                <w:szCs w:val="28"/>
              </w:rPr>
            </w:pPr>
            <w:bookmarkStart w:id="0" w:name="RANGE!B19"/>
            <w:r>
              <w:rPr>
                <w:rFonts w:ascii="Times New Roman" w:hAnsi="Times New Roman"/>
                <w:sz w:val="28"/>
                <w:szCs w:val="28"/>
              </w:rPr>
              <w:t>硝酸银</w:t>
            </w:r>
            <w:bookmarkEnd w:id="0"/>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7761-88-8</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2.10</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硝酸锌</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7779-88-6</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2.11</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硝酸铅</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10099-74-8</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897" w:type="dxa"/>
            <w:gridSpan w:val="7"/>
            <w:noWrap w:val="0"/>
            <w:vAlign w:val="center"/>
          </w:tcPr>
          <w:p>
            <w:pPr>
              <w:spacing w:line="0" w:lineRule="atLeast"/>
              <w:ind w:firstLine="0" w:firstLineChars="0"/>
              <w:jc w:val="left"/>
              <w:rPr>
                <w:rFonts w:ascii="Times New Roman" w:hAnsi="Times New Roman"/>
                <w:sz w:val="28"/>
                <w:szCs w:val="28"/>
              </w:rPr>
            </w:pPr>
            <w:r>
              <w:rPr>
                <w:rFonts w:ascii="Times New Roman" w:hAnsi="Times New Roman" w:eastAsia="黑体"/>
                <w:sz w:val="28"/>
                <w:szCs w:val="28"/>
              </w:rPr>
              <w:t>3 氯酸盐类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3.1</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氯酸钠</w:t>
            </w:r>
          </w:p>
        </w:tc>
        <w:tc>
          <w:tcPr>
            <w:tcW w:w="1557" w:type="dxa"/>
            <w:noWrap w:val="0"/>
            <w:vAlign w:val="center"/>
          </w:tcPr>
          <w:p>
            <w:pPr>
              <w:spacing w:line="0" w:lineRule="atLeast"/>
              <w:ind w:firstLine="0" w:firstLineChars="0"/>
              <w:jc w:val="center"/>
              <w:rPr>
                <w:rFonts w:ascii="Times New Roman" w:hAnsi="Times New Roman"/>
                <w:sz w:val="28"/>
                <w:szCs w:val="28"/>
              </w:rPr>
            </w:pPr>
          </w:p>
        </w:tc>
        <w:tc>
          <w:tcPr>
            <w:tcW w:w="1841" w:type="dxa"/>
            <w:gridSpan w:val="3"/>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7775-09-9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continue"/>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1605" w:type="dxa"/>
            <w:shd w:val="clear" w:color="auto" w:fill="auto"/>
            <w:noWrap w:val="0"/>
            <w:vAlign w:val="center"/>
          </w:tcPr>
          <w:p>
            <w:pPr>
              <w:spacing w:line="0" w:lineRule="atLeast"/>
              <w:ind w:firstLine="0" w:firstLineChars="0"/>
              <w:jc w:val="center"/>
              <w:rPr>
                <w:rFonts w:ascii="Times New Roman" w:hAnsi="Times New Roman"/>
                <w:spacing w:val="-10"/>
                <w:sz w:val="28"/>
                <w:szCs w:val="28"/>
              </w:rPr>
            </w:pPr>
            <w:r>
              <w:rPr>
                <w:rFonts w:ascii="Times New Roman" w:hAnsi="Times New Roman"/>
                <w:spacing w:val="-10"/>
                <w:sz w:val="28"/>
                <w:szCs w:val="28"/>
              </w:rPr>
              <w:t>氯酸钠溶液</w:t>
            </w:r>
          </w:p>
        </w:tc>
        <w:tc>
          <w:tcPr>
            <w:tcW w:w="1557" w:type="dxa"/>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1841" w:type="dxa"/>
            <w:gridSpan w:val="3"/>
            <w:vMerge w:val="continue"/>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2987" w:type="dxa"/>
            <w:shd w:val="clear" w:color="auto" w:fill="auto"/>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3.2</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氯酸钾</w:t>
            </w:r>
          </w:p>
        </w:tc>
        <w:tc>
          <w:tcPr>
            <w:tcW w:w="1557" w:type="dxa"/>
            <w:noWrap w:val="0"/>
            <w:vAlign w:val="center"/>
          </w:tcPr>
          <w:p>
            <w:pPr>
              <w:spacing w:line="0" w:lineRule="atLeast"/>
              <w:ind w:firstLine="0" w:firstLineChars="0"/>
              <w:jc w:val="center"/>
              <w:rPr>
                <w:rFonts w:ascii="Times New Roman" w:hAnsi="Times New Roman"/>
                <w:sz w:val="28"/>
                <w:szCs w:val="28"/>
              </w:rPr>
            </w:pPr>
          </w:p>
        </w:tc>
        <w:tc>
          <w:tcPr>
            <w:tcW w:w="1841" w:type="dxa"/>
            <w:gridSpan w:val="3"/>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3811-04-9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continue"/>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spacing w:line="0" w:lineRule="atLeast"/>
              <w:ind w:firstLine="0" w:firstLineChars="0"/>
              <w:jc w:val="center"/>
              <w:rPr>
                <w:rFonts w:ascii="Times New Roman" w:hAnsi="Times New Roman"/>
                <w:spacing w:val="-10"/>
                <w:sz w:val="28"/>
                <w:szCs w:val="28"/>
              </w:rPr>
            </w:pPr>
            <w:r>
              <w:rPr>
                <w:rFonts w:ascii="Times New Roman" w:hAnsi="Times New Roman"/>
                <w:spacing w:val="-10"/>
                <w:sz w:val="28"/>
                <w:szCs w:val="28"/>
              </w:rPr>
              <w:t>氯酸钾溶液</w:t>
            </w:r>
          </w:p>
        </w:tc>
        <w:tc>
          <w:tcPr>
            <w:tcW w:w="1557" w:type="dxa"/>
            <w:noWrap w:val="0"/>
            <w:vAlign w:val="center"/>
          </w:tcPr>
          <w:p>
            <w:pPr>
              <w:spacing w:line="0" w:lineRule="atLeast"/>
              <w:ind w:firstLine="0" w:firstLineChars="0"/>
              <w:jc w:val="center"/>
              <w:rPr>
                <w:rFonts w:ascii="Times New Roman" w:hAnsi="Times New Roman"/>
                <w:sz w:val="28"/>
                <w:szCs w:val="28"/>
              </w:rPr>
            </w:pPr>
          </w:p>
        </w:tc>
        <w:tc>
          <w:tcPr>
            <w:tcW w:w="1841" w:type="dxa"/>
            <w:gridSpan w:val="3"/>
            <w:vMerge w:val="continue"/>
            <w:noWrap w:val="0"/>
            <w:vAlign w:val="center"/>
          </w:tcPr>
          <w:p>
            <w:pPr>
              <w:spacing w:line="0" w:lineRule="atLeast"/>
              <w:ind w:firstLine="0" w:firstLineChars="0"/>
              <w:jc w:val="center"/>
              <w:rPr>
                <w:rFonts w:ascii="Times New Roman" w:hAnsi="Times New Roman"/>
                <w:sz w:val="28"/>
                <w:szCs w:val="28"/>
              </w:rPr>
            </w:pP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3.3</w:t>
            </w:r>
          </w:p>
        </w:tc>
        <w:tc>
          <w:tcPr>
            <w:tcW w:w="1605" w:type="dxa"/>
            <w:noWrap w:val="0"/>
            <w:vAlign w:val="center"/>
          </w:tcPr>
          <w:p>
            <w:pPr>
              <w:widowControl/>
              <w:spacing w:line="320" w:lineRule="exact"/>
              <w:ind w:firstLine="0" w:firstLineChars="0"/>
              <w:jc w:val="center"/>
              <w:rPr>
                <w:rFonts w:ascii="Times New Roman" w:hAnsi="Times New Roman"/>
                <w:sz w:val="28"/>
                <w:szCs w:val="28"/>
              </w:rPr>
            </w:pPr>
            <w:r>
              <w:rPr>
                <w:rFonts w:ascii="Times New Roman" w:hAnsi="Times New Roman"/>
                <w:sz w:val="28"/>
                <w:szCs w:val="28"/>
              </w:rPr>
              <w:t>氯酸铵</w:t>
            </w:r>
          </w:p>
        </w:tc>
        <w:tc>
          <w:tcPr>
            <w:tcW w:w="1557" w:type="dxa"/>
            <w:noWrap w:val="0"/>
            <w:vAlign w:val="center"/>
          </w:tcPr>
          <w:p>
            <w:pPr>
              <w:spacing w:line="0" w:lineRule="atLeast"/>
              <w:ind w:firstLine="0" w:firstLineChars="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10192-29-7</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爆炸物，不稳定爆炸物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897" w:type="dxa"/>
            <w:gridSpan w:val="7"/>
            <w:noWrap w:val="0"/>
            <w:vAlign w:val="center"/>
          </w:tcPr>
          <w:p>
            <w:pPr>
              <w:spacing w:line="0" w:lineRule="atLeast"/>
              <w:ind w:firstLine="0" w:firstLineChars="0"/>
              <w:rPr>
                <w:rFonts w:ascii="Times New Roman" w:hAnsi="Times New Roman"/>
                <w:sz w:val="28"/>
                <w:szCs w:val="28"/>
              </w:rPr>
            </w:pPr>
            <w:r>
              <w:rPr>
                <w:rFonts w:ascii="Times New Roman" w:hAnsi="Times New Roman" w:eastAsia="黑体"/>
                <w:sz w:val="28"/>
                <w:szCs w:val="28"/>
              </w:rPr>
              <w:t>4 高氯酸盐类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4.1</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高氯酸锂</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过氯酸锂</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7791-03-9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4. 2</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高氯酸钠</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过氯酸钠</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7601-89-0</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4. 3</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高氯酸钾</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过氯酸钾</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7778-74-7</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4. 4</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高氯酸铵</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过氯酸铵</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7790-98-9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爆炸物，1.1项</w:t>
            </w:r>
          </w:p>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897" w:type="dxa"/>
            <w:gridSpan w:val="7"/>
            <w:noWrap w:val="0"/>
            <w:vAlign w:val="center"/>
          </w:tcPr>
          <w:p>
            <w:pPr>
              <w:spacing w:line="0" w:lineRule="atLeast"/>
              <w:ind w:firstLine="0" w:firstLineChars="0"/>
              <w:rPr>
                <w:rFonts w:ascii="Times New Roman" w:hAnsi="Times New Roman" w:eastAsia="黑体"/>
                <w:sz w:val="28"/>
                <w:szCs w:val="28"/>
              </w:rPr>
            </w:pPr>
            <w:r>
              <w:rPr>
                <w:rFonts w:ascii="Times New Roman" w:hAnsi="Times New Roman" w:eastAsia="黑体"/>
                <w:sz w:val="28"/>
                <w:szCs w:val="28"/>
              </w:rPr>
              <w:t>5 重铬酸盐类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5. 1</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重铬酸锂</w:t>
            </w:r>
          </w:p>
        </w:tc>
        <w:tc>
          <w:tcPr>
            <w:tcW w:w="1557" w:type="dxa"/>
            <w:noWrap w:val="0"/>
            <w:vAlign w:val="center"/>
          </w:tcPr>
          <w:p>
            <w:pPr>
              <w:spacing w:line="0" w:lineRule="atLeast"/>
              <w:ind w:firstLine="0" w:firstLineChars="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13843-81-7</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5. 2</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重铬酸钠</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红矾钠</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10588-01-9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5. 3</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重铬酸钾</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红矾钾</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7778-50-9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5. 4</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重铬酸铵</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红矾铵</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7789-09-5</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8897" w:type="dxa"/>
            <w:gridSpan w:val="7"/>
            <w:noWrap w:val="0"/>
            <w:vAlign w:val="center"/>
          </w:tcPr>
          <w:p>
            <w:pPr>
              <w:spacing w:line="0" w:lineRule="atLeast"/>
              <w:ind w:firstLine="0" w:firstLineChars="0"/>
              <w:jc w:val="left"/>
              <w:rPr>
                <w:rFonts w:ascii="Times New Roman" w:hAnsi="Times New Roman"/>
                <w:sz w:val="28"/>
                <w:szCs w:val="28"/>
              </w:rPr>
            </w:pPr>
            <w:r>
              <w:rPr>
                <w:rFonts w:ascii="Times New Roman" w:hAnsi="Times New Roman" w:eastAsia="黑体"/>
                <w:sz w:val="28"/>
                <w:szCs w:val="28"/>
              </w:rPr>
              <w:t>6 过氧化物和超氧化物类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6.1</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过氧化氢溶液（含量&gt;8%）</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双氧水</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7722-84-1</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（1）含量≥60%</w:t>
            </w:r>
          </w:p>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氧化性液体，类别1</w:t>
            </w:r>
          </w:p>
          <w:p>
            <w:pPr>
              <w:spacing w:line="0" w:lineRule="atLeast"/>
              <w:ind w:firstLine="0" w:firstLineChars="0"/>
              <w:jc w:val="center"/>
              <w:rPr>
                <w:rFonts w:ascii="Times New Roman" w:hAnsi="Times New Roman"/>
                <w:sz w:val="28"/>
                <w:szCs w:val="28"/>
              </w:rPr>
            </w:pPr>
            <w:r>
              <w:rPr>
                <w:rFonts w:ascii="Times New Roman" w:hAnsi="Times New Roman"/>
                <w:sz w:val="28"/>
                <w:szCs w:val="28"/>
              </w:rPr>
              <w:t>（2）20%≤含量＜60%</w:t>
            </w:r>
          </w:p>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氧化性液体，类别2</w:t>
            </w:r>
          </w:p>
          <w:p>
            <w:pPr>
              <w:spacing w:line="0" w:lineRule="atLeast"/>
              <w:ind w:firstLine="0" w:firstLineChars="0"/>
              <w:jc w:val="center"/>
              <w:rPr>
                <w:rFonts w:ascii="Times New Roman" w:hAnsi="Times New Roman"/>
                <w:sz w:val="28"/>
                <w:szCs w:val="28"/>
              </w:rPr>
            </w:pPr>
            <w:r>
              <w:rPr>
                <w:rFonts w:ascii="Times New Roman" w:hAnsi="Times New Roman"/>
                <w:sz w:val="28"/>
                <w:szCs w:val="28"/>
              </w:rPr>
              <w:t>（3）8</w:t>
            </w:r>
            <w:r>
              <w:rPr>
                <w:rFonts w:hAnsi="Times New Roman"/>
                <w:sz w:val="28"/>
                <w:szCs w:val="28"/>
              </w:rPr>
              <w:t>%</w:t>
            </w:r>
            <w:r>
              <w:rPr>
                <w:rFonts w:ascii="Times New Roman" w:hAnsi="Times New Roman"/>
                <w:sz w:val="28"/>
                <w:szCs w:val="28"/>
              </w:rPr>
              <w:t>&lt;含量&lt;20%</w:t>
            </w:r>
          </w:p>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6.2</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过氧化锂</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二氧化锂</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12031-80-0</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6.3</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过氧化钠</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双氧化钠；二氧化钠</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1313-60-6</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6.4</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过氧化钾</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二氧化钾</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17014-71-0</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6.5</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过氧化镁</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二氧化镁</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1335-26-8</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氧化性液体，类别2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6.6</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过氧化钙</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二氧化钙</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1305-79-9</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6.7</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过氧化锶</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二氧化锶</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1314-18-7</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6.8</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过氧化钡</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二氧化钡</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1304-29-6</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6.9</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过氧化锌</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二氧化锌</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1314-22-3</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6.10</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过氧化脲</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过氧化氢尿素；过氧化氢脲</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124-43-6</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8" w:hRule="atLeast"/>
        </w:trPr>
        <w:tc>
          <w:tcPr>
            <w:tcW w:w="907" w:type="dxa"/>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6.11</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过乙酸[含量≤16%,含水≥39%,含乙酸≥15%,含过氧化氢≤24%,含有稳定剂]</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过醋酸；过氧乙酸；乙</w:t>
            </w:r>
            <w:r>
              <w:rPr>
                <w:rFonts w:ascii="Times New Roman" w:hAnsi="Times New Roman"/>
                <w:spacing w:val="-10"/>
                <w:sz w:val="28"/>
                <w:szCs w:val="28"/>
              </w:rPr>
              <w:t>酰过氧化氢</w:t>
            </w:r>
          </w:p>
        </w:tc>
        <w:tc>
          <w:tcPr>
            <w:tcW w:w="1841" w:type="dxa"/>
            <w:gridSpan w:val="3"/>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79-21-0</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有机过氧化物F型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8" w:hRule="atLeast"/>
        </w:trPr>
        <w:tc>
          <w:tcPr>
            <w:tcW w:w="907" w:type="dxa"/>
            <w:vMerge w:val="continue"/>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spacing w:line="0" w:lineRule="atLeast"/>
              <w:ind w:firstLine="0" w:firstLineChars="0"/>
              <w:rPr>
                <w:rFonts w:ascii="Times New Roman" w:hAnsi="Times New Roman"/>
                <w:sz w:val="28"/>
                <w:szCs w:val="28"/>
              </w:rPr>
            </w:pPr>
            <w:r>
              <w:rPr>
                <w:rFonts w:ascii="Times New Roman" w:hAnsi="Times New Roman"/>
                <w:sz w:val="28"/>
                <w:szCs w:val="28"/>
              </w:rPr>
              <w:t>过乙酸[含量≤43%,含水≥5%,含乙酸≥35%,含过氧化氢≤6%,含有稳定剂]</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vMerge w:val="continue"/>
            <w:noWrap w:val="0"/>
            <w:vAlign w:val="center"/>
          </w:tcPr>
          <w:p>
            <w:pPr>
              <w:spacing w:line="0" w:lineRule="atLeast"/>
              <w:ind w:firstLine="560"/>
              <w:jc w:val="center"/>
              <w:rPr>
                <w:rFonts w:ascii="Times New Roman" w:hAnsi="Times New Roman"/>
                <w:sz w:val="28"/>
                <w:szCs w:val="28"/>
              </w:rPr>
            </w:pP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易燃液体，类别3</w:t>
            </w:r>
          </w:p>
          <w:p>
            <w:pPr>
              <w:spacing w:line="0" w:lineRule="atLeast"/>
              <w:ind w:firstLine="0" w:firstLineChars="0"/>
              <w:jc w:val="center"/>
              <w:rPr>
                <w:rFonts w:ascii="Times New Roman" w:hAnsi="Times New Roman"/>
                <w:sz w:val="28"/>
                <w:szCs w:val="28"/>
              </w:rPr>
            </w:pPr>
            <w:r>
              <w:rPr>
                <w:rFonts w:ascii="Times New Roman" w:hAnsi="Times New Roman"/>
                <w:sz w:val="28"/>
                <w:szCs w:val="28"/>
              </w:rPr>
              <w:t>有机过氧化物，D型</w:t>
            </w:r>
          </w:p>
          <w:p>
            <w:pPr>
              <w:spacing w:line="0" w:lineRule="atLeast"/>
              <w:ind w:firstLine="0" w:firstLineChars="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6.12</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过氧化二异丙苯[52%＜含量≤100%]</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二枯基过氧化物；硫化剂DCP</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80-43-3</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有机过氧化物，F型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6.13</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过氧化氢苯甲酰</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过苯甲酸</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93-59-4</w:t>
            </w:r>
          </w:p>
        </w:tc>
        <w:tc>
          <w:tcPr>
            <w:tcW w:w="2987"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有机过氧化物，C型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6.14</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超氧化钠</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12034-12-7</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6.15</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超氧化钾</w:t>
            </w:r>
          </w:p>
        </w:tc>
        <w:tc>
          <w:tcPr>
            <w:tcW w:w="1557" w:type="dxa"/>
            <w:noWrap w:val="0"/>
            <w:vAlign w:val="center"/>
          </w:tcPr>
          <w:p>
            <w:pPr>
              <w:spacing w:line="0" w:lineRule="atLeast"/>
              <w:ind w:firstLine="560"/>
              <w:jc w:val="center"/>
              <w:rPr>
                <w:rFonts w:ascii="Times New Roman" w:hAnsi="Times New Roman"/>
                <w:sz w:val="28"/>
                <w:szCs w:val="28"/>
              </w:rPr>
            </w:pP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12030-88-5</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897" w:type="dxa"/>
            <w:gridSpan w:val="7"/>
            <w:noWrap w:val="0"/>
            <w:vAlign w:val="center"/>
          </w:tcPr>
          <w:p>
            <w:pPr>
              <w:spacing w:line="0" w:lineRule="atLeast"/>
              <w:ind w:firstLine="0" w:firstLineChars="0"/>
              <w:rPr>
                <w:rFonts w:ascii="Times New Roman" w:hAnsi="Times New Roman"/>
                <w:sz w:val="28"/>
                <w:szCs w:val="28"/>
              </w:rPr>
            </w:pPr>
            <w:r>
              <w:rPr>
                <w:rFonts w:ascii="Times New Roman" w:hAnsi="Times New Roman" w:eastAsia="黑体"/>
                <w:sz w:val="28"/>
                <w:szCs w:val="28"/>
              </w:rPr>
              <w:t>7 易燃物还原剂类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7.1</w:t>
            </w:r>
          </w:p>
        </w:tc>
        <w:tc>
          <w:tcPr>
            <w:tcW w:w="1605" w:type="dxa"/>
            <w:noWrap w:val="0"/>
            <w:vAlign w:val="center"/>
          </w:tcPr>
          <w:p>
            <w:pPr>
              <w:spacing w:line="0" w:lineRule="atLeast"/>
              <w:ind w:firstLine="176" w:firstLineChars="63"/>
              <w:jc w:val="center"/>
              <w:rPr>
                <w:rFonts w:ascii="Times New Roman" w:hAnsi="Times New Roman"/>
                <w:sz w:val="28"/>
                <w:szCs w:val="28"/>
              </w:rPr>
            </w:pPr>
            <w:r>
              <w:rPr>
                <w:rFonts w:ascii="Times New Roman" w:hAnsi="Times New Roman"/>
                <w:sz w:val="28"/>
                <w:szCs w:val="28"/>
              </w:rPr>
              <w:t>锂</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金属锂</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7439-93-2</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7.2</w:t>
            </w:r>
          </w:p>
        </w:tc>
        <w:tc>
          <w:tcPr>
            <w:tcW w:w="1605" w:type="dxa"/>
            <w:noWrap w:val="0"/>
            <w:vAlign w:val="center"/>
          </w:tcPr>
          <w:p>
            <w:pPr>
              <w:spacing w:line="0" w:lineRule="atLeast"/>
              <w:ind w:firstLine="176" w:firstLineChars="63"/>
              <w:jc w:val="center"/>
              <w:rPr>
                <w:rFonts w:ascii="Times New Roman" w:hAnsi="Times New Roman"/>
                <w:sz w:val="28"/>
                <w:szCs w:val="28"/>
              </w:rPr>
            </w:pPr>
            <w:r>
              <w:rPr>
                <w:rFonts w:ascii="Times New Roman" w:hAnsi="Times New Roman"/>
                <w:sz w:val="28"/>
                <w:szCs w:val="28"/>
              </w:rPr>
              <w:t>钠</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金属钠</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7440-23-5</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7.3</w:t>
            </w:r>
          </w:p>
        </w:tc>
        <w:tc>
          <w:tcPr>
            <w:tcW w:w="1605" w:type="dxa"/>
            <w:noWrap w:val="0"/>
            <w:vAlign w:val="center"/>
          </w:tcPr>
          <w:p>
            <w:pPr>
              <w:spacing w:line="0" w:lineRule="atLeast"/>
              <w:ind w:firstLine="176" w:firstLineChars="63"/>
              <w:jc w:val="center"/>
              <w:rPr>
                <w:rFonts w:ascii="Times New Roman" w:hAnsi="Times New Roman"/>
                <w:sz w:val="28"/>
                <w:szCs w:val="28"/>
              </w:rPr>
            </w:pPr>
            <w:r>
              <w:rPr>
                <w:rFonts w:ascii="Times New Roman" w:hAnsi="Times New Roman"/>
                <w:sz w:val="28"/>
                <w:szCs w:val="28"/>
              </w:rPr>
              <w:t>钾</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金属钾</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7440-09-7</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9" w:hRule="atLeast"/>
        </w:trPr>
        <w:tc>
          <w:tcPr>
            <w:tcW w:w="90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7.4</w:t>
            </w:r>
          </w:p>
        </w:tc>
        <w:tc>
          <w:tcPr>
            <w:tcW w:w="1605" w:type="dxa"/>
            <w:noWrap w:val="0"/>
            <w:vAlign w:val="center"/>
          </w:tcPr>
          <w:p>
            <w:pPr>
              <w:spacing w:line="300" w:lineRule="exact"/>
              <w:ind w:firstLine="176" w:firstLineChars="63"/>
              <w:jc w:val="center"/>
              <w:rPr>
                <w:rFonts w:ascii="Times New Roman" w:hAnsi="Times New Roman"/>
                <w:sz w:val="28"/>
                <w:szCs w:val="28"/>
              </w:rPr>
            </w:pPr>
            <w:r>
              <w:rPr>
                <w:rFonts w:ascii="Times New Roman" w:hAnsi="Times New Roman"/>
                <w:sz w:val="28"/>
                <w:szCs w:val="28"/>
              </w:rPr>
              <w:t>镁</w:t>
            </w:r>
          </w:p>
        </w:tc>
        <w:tc>
          <w:tcPr>
            <w:tcW w:w="1557" w:type="dxa"/>
            <w:noWrap w:val="0"/>
            <w:vAlign w:val="center"/>
          </w:tcPr>
          <w:p>
            <w:pPr>
              <w:spacing w:line="300" w:lineRule="exact"/>
              <w:ind w:firstLine="560"/>
              <w:jc w:val="center"/>
              <w:rPr>
                <w:rFonts w:ascii="Times New Roman" w:hAnsi="Times New Roman"/>
                <w:sz w:val="28"/>
                <w:szCs w:val="28"/>
              </w:rPr>
            </w:pPr>
          </w:p>
        </w:tc>
        <w:tc>
          <w:tcPr>
            <w:tcW w:w="1841" w:type="dxa"/>
            <w:gridSpan w:val="3"/>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7439-95-4</w:t>
            </w: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（1）粉末：自热物质和混合物，类别1</w:t>
            </w:r>
          </w:p>
          <w:p>
            <w:pPr>
              <w:spacing w:line="300" w:lineRule="exac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遇水放出易燃气体的物质和混合物，类别2</w:t>
            </w:r>
          </w:p>
          <w:p>
            <w:pPr>
              <w:spacing w:line="300" w:lineRule="exact"/>
              <w:ind w:firstLine="0" w:firstLineChars="0"/>
              <w:jc w:val="center"/>
              <w:rPr>
                <w:rFonts w:ascii="Times New Roman" w:hAnsi="Times New Roman"/>
                <w:sz w:val="28"/>
                <w:szCs w:val="28"/>
              </w:rPr>
            </w:pPr>
            <w:r>
              <w:rPr>
                <w:rFonts w:ascii="Times New Roman" w:hAnsi="Times New Roman"/>
                <w:sz w:val="28"/>
                <w:szCs w:val="28"/>
              </w:rPr>
              <w:t>（2）</w:t>
            </w:r>
            <w:r>
              <w:rPr>
                <w:rFonts w:ascii="Times New Roman" w:hAnsi="Times New Roman"/>
                <w:spacing w:val="-10"/>
                <w:sz w:val="28"/>
                <w:szCs w:val="28"/>
              </w:rPr>
              <w:t>丸状、旋屑或带状：</w:t>
            </w:r>
          </w:p>
          <w:p>
            <w:pPr>
              <w:spacing w:line="300" w:lineRule="exact"/>
              <w:ind w:firstLine="0" w:firstLineChars="0"/>
              <w:jc w:val="center"/>
              <w:rPr>
                <w:rFonts w:ascii="Times New Roman" w:hAnsi="Times New Roman"/>
                <w:sz w:val="28"/>
                <w:szCs w:val="28"/>
              </w:rPr>
            </w:pPr>
            <w:r>
              <w:rPr>
                <w:rFonts w:ascii="Times New Roman" w:hAnsi="Times New Roman"/>
                <w:sz w:val="28"/>
                <w:szCs w:val="28"/>
              </w:rPr>
              <w:t>易燃固体，类别2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90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7.5</w:t>
            </w:r>
          </w:p>
        </w:tc>
        <w:tc>
          <w:tcPr>
            <w:tcW w:w="1605"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镁铝粉</w:t>
            </w:r>
          </w:p>
        </w:tc>
        <w:tc>
          <w:tcPr>
            <w:tcW w:w="1557" w:type="dxa"/>
            <w:noWrap w:val="0"/>
            <w:vAlign w:val="center"/>
          </w:tcPr>
          <w:p>
            <w:pPr>
              <w:spacing w:line="300" w:lineRule="exact"/>
              <w:ind w:firstLine="0" w:firstLineChars="0"/>
              <w:rPr>
                <w:rFonts w:hint="eastAsia" w:ascii="Times New Roman" w:hAnsi="Times New Roman"/>
                <w:spacing w:val="-10"/>
                <w:sz w:val="28"/>
                <w:szCs w:val="28"/>
              </w:rPr>
            </w:pPr>
            <w:r>
              <w:rPr>
                <w:rFonts w:hint="eastAsia" w:ascii="Times New Roman" w:hAnsi="Times New Roman"/>
                <w:spacing w:val="-10"/>
                <w:sz w:val="28"/>
                <w:szCs w:val="28"/>
              </w:rPr>
              <w:t>镁铝合金粉</w:t>
            </w:r>
          </w:p>
        </w:tc>
        <w:tc>
          <w:tcPr>
            <w:tcW w:w="1841" w:type="dxa"/>
            <w:gridSpan w:val="3"/>
            <w:noWrap w:val="0"/>
            <w:vAlign w:val="center"/>
          </w:tcPr>
          <w:p>
            <w:pPr>
              <w:spacing w:line="300" w:lineRule="exact"/>
              <w:ind w:firstLine="560"/>
              <w:jc w:val="center"/>
              <w:rPr>
                <w:rFonts w:ascii="Times New Roman" w:hAnsi="Times New Roman"/>
                <w:sz w:val="28"/>
                <w:szCs w:val="28"/>
              </w:rPr>
            </w:pP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遇水放出易燃气体的物质和混合物，类别2</w:t>
            </w:r>
          </w:p>
          <w:p>
            <w:pPr>
              <w:spacing w:line="300" w:lineRule="exact"/>
              <w:ind w:firstLine="0" w:firstLineChars="0"/>
              <w:jc w:val="center"/>
              <w:rPr>
                <w:rFonts w:ascii="Times New Roman" w:hAnsi="Times New Roman"/>
                <w:spacing w:val="-16"/>
                <w:sz w:val="28"/>
                <w:szCs w:val="28"/>
              </w:rPr>
            </w:pPr>
            <w:r>
              <w:rPr>
                <w:rFonts w:ascii="Times New Roman" w:hAnsi="Times New Roman"/>
                <w:spacing w:val="-16"/>
                <w:sz w:val="28"/>
                <w:szCs w:val="28"/>
              </w:rPr>
              <w:t>自热物质和混合物，类别1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90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7.6</w:t>
            </w:r>
          </w:p>
        </w:tc>
        <w:tc>
          <w:tcPr>
            <w:tcW w:w="1605" w:type="dxa"/>
            <w:noWrap w:val="0"/>
            <w:vAlign w:val="center"/>
          </w:tcPr>
          <w:p>
            <w:pPr>
              <w:spacing w:line="300" w:lineRule="exact"/>
              <w:ind w:firstLine="176" w:firstLineChars="63"/>
              <w:jc w:val="center"/>
              <w:rPr>
                <w:rFonts w:ascii="Times New Roman" w:hAnsi="Times New Roman"/>
                <w:sz w:val="28"/>
                <w:szCs w:val="28"/>
              </w:rPr>
            </w:pPr>
            <w:r>
              <w:rPr>
                <w:rFonts w:ascii="Times New Roman" w:hAnsi="Times New Roman"/>
                <w:sz w:val="28"/>
                <w:szCs w:val="28"/>
              </w:rPr>
              <w:t>铝粉</w:t>
            </w:r>
          </w:p>
        </w:tc>
        <w:tc>
          <w:tcPr>
            <w:tcW w:w="1557" w:type="dxa"/>
            <w:noWrap w:val="0"/>
            <w:vAlign w:val="center"/>
          </w:tcPr>
          <w:p>
            <w:pPr>
              <w:spacing w:line="300" w:lineRule="exact"/>
              <w:ind w:firstLine="176" w:firstLineChars="63"/>
              <w:jc w:val="center"/>
              <w:rPr>
                <w:rFonts w:ascii="Times New Roman" w:hAnsi="Times New Roman"/>
                <w:sz w:val="28"/>
                <w:szCs w:val="28"/>
              </w:rPr>
            </w:pPr>
          </w:p>
        </w:tc>
        <w:tc>
          <w:tcPr>
            <w:tcW w:w="1841" w:type="dxa"/>
            <w:gridSpan w:val="3"/>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7429-90-5</w:t>
            </w: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（1）有涂层：易燃固体，类别1</w:t>
            </w:r>
          </w:p>
          <w:p>
            <w:pPr>
              <w:spacing w:line="300" w:lineRule="exact"/>
              <w:ind w:firstLine="0" w:firstLineChars="0"/>
              <w:jc w:val="center"/>
              <w:rPr>
                <w:rFonts w:ascii="Times New Roman" w:hAnsi="Times New Roman"/>
                <w:sz w:val="28"/>
                <w:szCs w:val="28"/>
              </w:rPr>
            </w:pPr>
            <w:r>
              <w:rPr>
                <w:rFonts w:ascii="Times New Roman" w:hAnsi="Times New Roman"/>
                <w:sz w:val="28"/>
                <w:szCs w:val="28"/>
              </w:rPr>
              <w:t>（2）无涂层：遇水放出易燃气体的物质和混合物，类别2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07" w:type="dxa"/>
            <w:vMerge w:val="restart"/>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7.7</w:t>
            </w:r>
          </w:p>
        </w:tc>
        <w:tc>
          <w:tcPr>
            <w:tcW w:w="1605"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硅铝</w:t>
            </w:r>
          </w:p>
        </w:tc>
        <w:tc>
          <w:tcPr>
            <w:tcW w:w="1557" w:type="dxa"/>
            <w:vMerge w:val="restart"/>
            <w:noWrap w:val="0"/>
            <w:vAlign w:val="center"/>
          </w:tcPr>
          <w:p>
            <w:pPr>
              <w:spacing w:line="300" w:lineRule="exact"/>
              <w:ind w:firstLine="176" w:firstLineChars="63"/>
              <w:jc w:val="center"/>
              <w:rPr>
                <w:rFonts w:ascii="Times New Roman" w:hAnsi="Times New Roman"/>
                <w:sz w:val="28"/>
                <w:szCs w:val="28"/>
              </w:rPr>
            </w:pPr>
          </w:p>
        </w:tc>
        <w:tc>
          <w:tcPr>
            <w:tcW w:w="1841" w:type="dxa"/>
            <w:gridSpan w:val="3"/>
            <w:vMerge w:val="restart"/>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57485-31-1</w:t>
            </w:r>
          </w:p>
        </w:tc>
        <w:tc>
          <w:tcPr>
            <w:tcW w:w="2987" w:type="dxa"/>
            <w:vMerge w:val="restart"/>
            <w:noWrap w:val="0"/>
            <w:vAlign w:val="center"/>
          </w:tcPr>
          <w:p>
            <w:pPr>
              <w:spacing w:line="300" w:lineRule="exact"/>
              <w:ind w:firstLine="0" w:firstLineChars="0"/>
              <w:rPr>
                <w:rFonts w:ascii="Times New Roman" w:hAnsi="Times New Roman"/>
                <w:sz w:val="28"/>
                <w:szCs w:val="28"/>
              </w:rPr>
            </w:pPr>
            <w:r>
              <w:rPr>
                <w:rFonts w:ascii="Times New Roman" w:hAnsi="Times New Roman"/>
                <w:sz w:val="28"/>
                <w:szCs w:val="28"/>
              </w:rPr>
              <w:t>遇水放出易燃气体的物质和混合物，类别3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07" w:type="dxa"/>
            <w:vMerge w:val="continue"/>
            <w:noWrap w:val="0"/>
            <w:vAlign w:val="center"/>
          </w:tcPr>
          <w:p>
            <w:pPr>
              <w:spacing w:line="300" w:lineRule="exact"/>
              <w:ind w:firstLine="0" w:firstLineChars="0"/>
              <w:jc w:val="center"/>
              <w:rPr>
                <w:rFonts w:ascii="Times New Roman" w:hAnsi="Times New Roman"/>
                <w:sz w:val="28"/>
                <w:szCs w:val="28"/>
              </w:rPr>
            </w:pPr>
          </w:p>
        </w:tc>
        <w:tc>
          <w:tcPr>
            <w:tcW w:w="1605"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硅铝粉</w:t>
            </w:r>
          </w:p>
        </w:tc>
        <w:tc>
          <w:tcPr>
            <w:tcW w:w="1557" w:type="dxa"/>
            <w:vMerge w:val="continue"/>
            <w:noWrap w:val="0"/>
            <w:vAlign w:val="center"/>
          </w:tcPr>
          <w:p>
            <w:pPr>
              <w:spacing w:line="300" w:lineRule="exact"/>
              <w:ind w:firstLine="176" w:firstLineChars="63"/>
              <w:jc w:val="center"/>
              <w:rPr>
                <w:rFonts w:ascii="Times New Roman" w:hAnsi="Times New Roman"/>
                <w:sz w:val="28"/>
                <w:szCs w:val="28"/>
              </w:rPr>
            </w:pPr>
          </w:p>
        </w:tc>
        <w:tc>
          <w:tcPr>
            <w:tcW w:w="1841" w:type="dxa"/>
            <w:gridSpan w:val="3"/>
            <w:vMerge w:val="continue"/>
            <w:noWrap w:val="0"/>
            <w:vAlign w:val="center"/>
          </w:tcPr>
          <w:p>
            <w:pPr>
              <w:spacing w:line="300" w:lineRule="exact"/>
              <w:ind w:firstLine="0" w:firstLineChars="0"/>
              <w:jc w:val="center"/>
              <w:rPr>
                <w:rFonts w:ascii="Times New Roman" w:hAnsi="Times New Roman"/>
                <w:sz w:val="28"/>
                <w:szCs w:val="28"/>
              </w:rPr>
            </w:pPr>
          </w:p>
        </w:tc>
        <w:tc>
          <w:tcPr>
            <w:tcW w:w="2987" w:type="dxa"/>
            <w:vMerge w:val="continue"/>
            <w:noWrap w:val="0"/>
            <w:vAlign w:val="center"/>
          </w:tcPr>
          <w:p>
            <w:pPr>
              <w:spacing w:line="300" w:lineRule="exact"/>
              <w:ind w:firstLine="0" w:firstLineChars="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0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7.8</w:t>
            </w:r>
          </w:p>
        </w:tc>
        <w:tc>
          <w:tcPr>
            <w:tcW w:w="1605" w:type="dxa"/>
            <w:noWrap w:val="0"/>
            <w:vAlign w:val="center"/>
          </w:tcPr>
          <w:p>
            <w:pPr>
              <w:spacing w:line="300" w:lineRule="exact"/>
              <w:ind w:firstLine="176" w:firstLineChars="63"/>
              <w:jc w:val="center"/>
              <w:rPr>
                <w:rFonts w:ascii="Times New Roman" w:hAnsi="Times New Roman"/>
                <w:sz w:val="28"/>
                <w:szCs w:val="28"/>
              </w:rPr>
            </w:pPr>
            <w:r>
              <w:rPr>
                <w:rFonts w:ascii="Times New Roman" w:hAnsi="Times New Roman"/>
                <w:sz w:val="28"/>
                <w:szCs w:val="28"/>
              </w:rPr>
              <w:t>硫磺</w:t>
            </w:r>
          </w:p>
        </w:tc>
        <w:tc>
          <w:tcPr>
            <w:tcW w:w="155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硫</w:t>
            </w:r>
          </w:p>
        </w:tc>
        <w:tc>
          <w:tcPr>
            <w:tcW w:w="1841" w:type="dxa"/>
            <w:gridSpan w:val="3"/>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7704-34-9</w:t>
            </w: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易燃固体，类别2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907" w:type="dxa"/>
            <w:vMerge w:val="restart"/>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7.9</w:t>
            </w:r>
          </w:p>
        </w:tc>
        <w:tc>
          <w:tcPr>
            <w:tcW w:w="1605"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锌尘</w:t>
            </w:r>
          </w:p>
        </w:tc>
        <w:tc>
          <w:tcPr>
            <w:tcW w:w="1557" w:type="dxa"/>
            <w:noWrap w:val="0"/>
            <w:vAlign w:val="center"/>
          </w:tcPr>
          <w:p>
            <w:pPr>
              <w:spacing w:line="300" w:lineRule="exact"/>
              <w:ind w:firstLine="560"/>
              <w:jc w:val="center"/>
              <w:rPr>
                <w:rFonts w:ascii="Times New Roman" w:hAnsi="Times New Roman"/>
                <w:sz w:val="28"/>
                <w:szCs w:val="28"/>
              </w:rPr>
            </w:pPr>
          </w:p>
        </w:tc>
        <w:tc>
          <w:tcPr>
            <w:tcW w:w="1841" w:type="dxa"/>
            <w:gridSpan w:val="3"/>
            <w:vMerge w:val="restart"/>
            <w:noWrap w:val="0"/>
            <w:vAlign w:val="center"/>
          </w:tcPr>
          <w:p>
            <w:pPr>
              <w:spacing w:line="300" w:lineRule="exact"/>
              <w:ind w:firstLine="42" w:firstLineChars="15"/>
              <w:jc w:val="center"/>
              <w:rPr>
                <w:rFonts w:ascii="Times New Roman" w:hAnsi="Times New Roman"/>
                <w:sz w:val="28"/>
                <w:szCs w:val="28"/>
              </w:rPr>
            </w:pPr>
            <w:r>
              <w:rPr>
                <w:rFonts w:ascii="Times New Roman" w:hAnsi="Times New Roman"/>
                <w:sz w:val="28"/>
                <w:szCs w:val="28"/>
              </w:rPr>
              <w:t>7440-66-6</w:t>
            </w: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自热物质和混合物，类别1；遇水放出易燃气</w:t>
            </w:r>
            <w:r>
              <w:rPr>
                <w:rFonts w:ascii="Times New Roman" w:hAnsi="Times New Roman"/>
                <w:spacing w:val="-16"/>
                <w:sz w:val="28"/>
                <w:szCs w:val="28"/>
              </w:rPr>
              <w:t>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907" w:type="dxa"/>
            <w:vMerge w:val="continue"/>
            <w:noWrap w:val="0"/>
            <w:vAlign w:val="center"/>
          </w:tcPr>
          <w:p>
            <w:pPr>
              <w:spacing w:line="300" w:lineRule="exact"/>
              <w:ind w:firstLine="0" w:firstLineChars="0"/>
              <w:jc w:val="center"/>
              <w:rPr>
                <w:rFonts w:ascii="Times New Roman" w:hAnsi="Times New Roman"/>
                <w:sz w:val="28"/>
                <w:szCs w:val="28"/>
              </w:rPr>
            </w:pPr>
          </w:p>
        </w:tc>
        <w:tc>
          <w:tcPr>
            <w:tcW w:w="1605"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锌粉</w:t>
            </w:r>
          </w:p>
        </w:tc>
        <w:tc>
          <w:tcPr>
            <w:tcW w:w="1557" w:type="dxa"/>
            <w:noWrap w:val="0"/>
            <w:vAlign w:val="center"/>
          </w:tcPr>
          <w:p>
            <w:pPr>
              <w:spacing w:line="300" w:lineRule="exact"/>
              <w:ind w:firstLine="560"/>
              <w:jc w:val="center"/>
              <w:rPr>
                <w:rFonts w:ascii="Times New Roman" w:hAnsi="Times New Roman"/>
                <w:sz w:val="28"/>
                <w:szCs w:val="28"/>
              </w:rPr>
            </w:pPr>
          </w:p>
        </w:tc>
        <w:tc>
          <w:tcPr>
            <w:tcW w:w="1841" w:type="dxa"/>
            <w:gridSpan w:val="3"/>
            <w:vMerge w:val="continue"/>
            <w:noWrap w:val="0"/>
            <w:vAlign w:val="center"/>
          </w:tcPr>
          <w:p>
            <w:pPr>
              <w:spacing w:line="300" w:lineRule="exact"/>
              <w:ind w:firstLine="0" w:firstLineChars="0"/>
              <w:jc w:val="center"/>
              <w:rPr>
                <w:rFonts w:ascii="Times New Roman" w:hAnsi="Times New Roman"/>
                <w:sz w:val="28"/>
                <w:szCs w:val="28"/>
              </w:rPr>
            </w:pP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自热物质和混合物，类别1；遇水放出易燃气</w:t>
            </w:r>
            <w:r>
              <w:rPr>
                <w:rFonts w:ascii="Times New Roman" w:hAnsi="Times New Roman"/>
                <w:spacing w:val="-16"/>
                <w:sz w:val="28"/>
                <w:szCs w:val="28"/>
              </w:rPr>
              <w:t>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907" w:type="dxa"/>
            <w:vMerge w:val="continue"/>
            <w:noWrap w:val="0"/>
            <w:vAlign w:val="center"/>
          </w:tcPr>
          <w:p>
            <w:pPr>
              <w:spacing w:line="300" w:lineRule="exact"/>
              <w:ind w:firstLine="0" w:firstLineChars="0"/>
              <w:jc w:val="center"/>
              <w:rPr>
                <w:rFonts w:ascii="Times New Roman" w:hAnsi="Times New Roman"/>
                <w:sz w:val="28"/>
                <w:szCs w:val="28"/>
              </w:rPr>
            </w:pPr>
          </w:p>
        </w:tc>
        <w:tc>
          <w:tcPr>
            <w:tcW w:w="1605"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锌灰</w:t>
            </w:r>
          </w:p>
        </w:tc>
        <w:tc>
          <w:tcPr>
            <w:tcW w:w="1557" w:type="dxa"/>
            <w:noWrap w:val="0"/>
            <w:vAlign w:val="center"/>
          </w:tcPr>
          <w:p>
            <w:pPr>
              <w:spacing w:line="300" w:lineRule="exact"/>
              <w:ind w:firstLine="560"/>
              <w:jc w:val="center"/>
              <w:rPr>
                <w:rFonts w:ascii="Times New Roman" w:hAnsi="Times New Roman"/>
                <w:sz w:val="28"/>
                <w:szCs w:val="28"/>
              </w:rPr>
            </w:pPr>
          </w:p>
        </w:tc>
        <w:tc>
          <w:tcPr>
            <w:tcW w:w="1841" w:type="dxa"/>
            <w:gridSpan w:val="3"/>
            <w:vMerge w:val="continue"/>
            <w:noWrap w:val="0"/>
            <w:vAlign w:val="center"/>
          </w:tcPr>
          <w:p>
            <w:pPr>
              <w:spacing w:line="300" w:lineRule="exact"/>
              <w:ind w:firstLine="0" w:firstLineChars="0"/>
              <w:jc w:val="center"/>
              <w:rPr>
                <w:rFonts w:ascii="Times New Roman" w:hAnsi="Times New Roman"/>
                <w:sz w:val="28"/>
                <w:szCs w:val="28"/>
              </w:rPr>
            </w:pP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07" w:type="dxa"/>
            <w:vMerge w:val="restart"/>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7.10</w:t>
            </w:r>
          </w:p>
        </w:tc>
        <w:tc>
          <w:tcPr>
            <w:tcW w:w="1605" w:type="dxa"/>
            <w:noWrap w:val="0"/>
            <w:vAlign w:val="center"/>
          </w:tcPr>
          <w:p>
            <w:pPr>
              <w:spacing w:line="300" w:lineRule="exact"/>
              <w:ind w:firstLine="176" w:firstLineChars="63"/>
              <w:jc w:val="center"/>
              <w:rPr>
                <w:rFonts w:ascii="Times New Roman" w:hAnsi="Times New Roman"/>
                <w:sz w:val="28"/>
                <w:szCs w:val="28"/>
              </w:rPr>
            </w:pPr>
            <w:r>
              <w:rPr>
                <w:rFonts w:ascii="Times New Roman" w:hAnsi="Times New Roman"/>
                <w:sz w:val="28"/>
                <w:szCs w:val="28"/>
              </w:rPr>
              <w:t>金属锆</w:t>
            </w:r>
          </w:p>
        </w:tc>
        <w:tc>
          <w:tcPr>
            <w:tcW w:w="1557" w:type="dxa"/>
            <w:noWrap w:val="0"/>
            <w:vAlign w:val="center"/>
          </w:tcPr>
          <w:p>
            <w:pPr>
              <w:spacing w:line="300" w:lineRule="exact"/>
              <w:ind w:firstLine="176" w:firstLineChars="63"/>
              <w:jc w:val="center"/>
              <w:rPr>
                <w:rFonts w:ascii="Times New Roman" w:hAnsi="Times New Roman"/>
                <w:sz w:val="28"/>
                <w:szCs w:val="28"/>
              </w:rPr>
            </w:pPr>
          </w:p>
        </w:tc>
        <w:tc>
          <w:tcPr>
            <w:tcW w:w="1841" w:type="dxa"/>
            <w:gridSpan w:val="3"/>
            <w:vMerge w:val="restart"/>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7440-67-7</w:t>
            </w: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易燃固体，类别2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trPr>
        <w:tc>
          <w:tcPr>
            <w:tcW w:w="907" w:type="dxa"/>
            <w:vMerge w:val="continue"/>
            <w:noWrap w:val="0"/>
            <w:vAlign w:val="center"/>
          </w:tcPr>
          <w:p>
            <w:pPr>
              <w:spacing w:line="300" w:lineRule="exact"/>
              <w:ind w:firstLine="0" w:firstLineChars="0"/>
              <w:jc w:val="center"/>
              <w:rPr>
                <w:rFonts w:ascii="Times New Roman" w:hAnsi="Times New Roman"/>
                <w:sz w:val="28"/>
                <w:szCs w:val="28"/>
              </w:rPr>
            </w:pPr>
          </w:p>
        </w:tc>
        <w:tc>
          <w:tcPr>
            <w:tcW w:w="1605"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金属锆粉</w:t>
            </w:r>
          </w:p>
        </w:tc>
        <w:tc>
          <w:tcPr>
            <w:tcW w:w="155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锆粉</w:t>
            </w:r>
          </w:p>
        </w:tc>
        <w:tc>
          <w:tcPr>
            <w:tcW w:w="1841" w:type="dxa"/>
            <w:gridSpan w:val="3"/>
            <w:vMerge w:val="continue"/>
            <w:noWrap w:val="0"/>
            <w:vAlign w:val="center"/>
          </w:tcPr>
          <w:p>
            <w:pPr>
              <w:spacing w:line="300" w:lineRule="exact"/>
              <w:ind w:firstLine="0" w:firstLineChars="0"/>
              <w:jc w:val="center"/>
              <w:rPr>
                <w:rFonts w:ascii="Times New Roman" w:hAnsi="Times New Roman"/>
                <w:sz w:val="28"/>
                <w:szCs w:val="28"/>
              </w:rPr>
            </w:pPr>
          </w:p>
        </w:tc>
        <w:tc>
          <w:tcPr>
            <w:tcW w:w="2987" w:type="dxa"/>
            <w:noWrap w:val="0"/>
            <w:vAlign w:val="center"/>
          </w:tcPr>
          <w:p>
            <w:pPr>
              <w:spacing w:line="300" w:lineRule="exact"/>
              <w:ind w:firstLine="0" w:firstLineChars="0"/>
              <w:jc w:val="center"/>
              <w:rPr>
                <w:rFonts w:ascii="Times New Roman" w:hAnsi="Times New Roman"/>
                <w:sz w:val="28"/>
                <w:szCs w:val="28"/>
              </w:rPr>
            </w:pPr>
            <w:r>
              <w:rPr>
                <w:rFonts w:ascii="Times New Roman" w:hAnsi="Times New Roman"/>
                <w:sz w:val="28"/>
                <w:szCs w:val="28"/>
              </w:rPr>
              <w:t>自燃固体，类别1，遇水放出易燃气体的物质和混合物，类别1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7.11</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六亚甲基四胺</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六甲撑四</w:t>
            </w:r>
            <w:r>
              <w:rPr>
                <w:rFonts w:ascii="Times New Roman" w:hAnsi="Times New Roman"/>
                <w:spacing w:val="-20"/>
                <w:sz w:val="28"/>
                <w:szCs w:val="28"/>
              </w:rPr>
              <w:t>胺；乌洛托品</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100-97-0</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易燃固体，类别2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7.12</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1，2-乙二胺</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1，2-二氨基乙烷；乙撑二胺</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107-15-3</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易燃液体，类别3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7.13</w:t>
            </w:r>
          </w:p>
        </w:tc>
        <w:tc>
          <w:tcPr>
            <w:tcW w:w="1605" w:type="dxa"/>
            <w:noWrap w:val="0"/>
            <w:vAlign w:val="center"/>
          </w:tcPr>
          <w:p>
            <w:pPr>
              <w:spacing w:line="0" w:lineRule="atLeast"/>
              <w:ind w:firstLine="0" w:firstLineChars="0"/>
              <w:jc w:val="center"/>
              <w:rPr>
                <w:rFonts w:ascii="Times New Roman" w:hAnsi="Times New Roman"/>
                <w:spacing w:val="-20"/>
                <w:sz w:val="28"/>
                <w:szCs w:val="28"/>
              </w:rPr>
            </w:pPr>
            <w:r>
              <w:rPr>
                <w:rFonts w:ascii="Times New Roman" w:hAnsi="Times New Roman"/>
                <w:spacing w:val="-20"/>
                <w:sz w:val="28"/>
                <w:szCs w:val="28"/>
              </w:rPr>
              <w:t>一甲胺[无水]</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氨基甲烷；甲胺</w:t>
            </w:r>
          </w:p>
        </w:tc>
        <w:tc>
          <w:tcPr>
            <w:tcW w:w="1841" w:type="dxa"/>
            <w:gridSpan w:val="3"/>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74-89-5</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易燃气体，类别1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continue"/>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spacing w:line="0" w:lineRule="atLeast"/>
              <w:ind w:firstLine="0" w:firstLineChars="0"/>
              <w:jc w:val="center"/>
              <w:rPr>
                <w:rFonts w:ascii="Times New Roman" w:hAnsi="Times New Roman"/>
                <w:spacing w:val="-20"/>
                <w:sz w:val="28"/>
                <w:szCs w:val="28"/>
              </w:rPr>
            </w:pPr>
            <w:r>
              <w:rPr>
                <w:rFonts w:ascii="Times New Roman" w:hAnsi="Times New Roman"/>
                <w:spacing w:val="-20"/>
                <w:sz w:val="28"/>
                <w:szCs w:val="28"/>
              </w:rPr>
              <w:t>一甲胺溶液</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氨基甲烷溶液；甲胺溶液</w:t>
            </w:r>
          </w:p>
        </w:tc>
        <w:tc>
          <w:tcPr>
            <w:tcW w:w="1841" w:type="dxa"/>
            <w:gridSpan w:val="3"/>
            <w:vMerge w:val="continue"/>
            <w:noWrap w:val="0"/>
            <w:vAlign w:val="center"/>
          </w:tcPr>
          <w:p>
            <w:pPr>
              <w:spacing w:line="0" w:lineRule="atLeast"/>
              <w:ind w:firstLine="0" w:firstLineChars="0"/>
              <w:jc w:val="center"/>
              <w:rPr>
                <w:rFonts w:ascii="Times New Roman" w:hAnsi="Times New Roman"/>
                <w:sz w:val="28"/>
                <w:szCs w:val="28"/>
              </w:rPr>
            </w:pP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易燃液体，类别1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7.14</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硼氢化锂</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氢硼化锂</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16949-15-8</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7.15</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硼氢化钠</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氢硼化钠</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16940-66-2</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7.16</w:t>
            </w:r>
          </w:p>
        </w:tc>
        <w:tc>
          <w:tcPr>
            <w:tcW w:w="1605"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硼氢化钾</w:t>
            </w:r>
          </w:p>
        </w:tc>
        <w:tc>
          <w:tcPr>
            <w:tcW w:w="155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氢硼化钾</w:t>
            </w:r>
          </w:p>
        </w:tc>
        <w:tc>
          <w:tcPr>
            <w:tcW w:w="1841" w:type="dxa"/>
            <w:gridSpan w:val="3"/>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13762-51-1</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遇水放出易燃气体的物质和混合物，类别1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897" w:type="dxa"/>
            <w:gridSpan w:val="7"/>
            <w:noWrap w:val="0"/>
            <w:vAlign w:val="center"/>
          </w:tcPr>
          <w:p>
            <w:pPr>
              <w:spacing w:line="0" w:lineRule="atLeast"/>
              <w:ind w:firstLine="0" w:firstLineChars="0"/>
              <w:rPr>
                <w:rFonts w:ascii="Times New Roman" w:hAnsi="Times New Roman"/>
                <w:sz w:val="28"/>
                <w:szCs w:val="28"/>
              </w:rPr>
            </w:pPr>
            <w:r>
              <w:rPr>
                <w:rFonts w:ascii="Times New Roman" w:hAnsi="Times New Roman" w:eastAsia="黑体"/>
                <w:sz w:val="28"/>
                <w:szCs w:val="28"/>
              </w:rPr>
              <w:t>8 硝基化合物类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8.1</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硝基甲烷</w:t>
            </w:r>
          </w:p>
        </w:tc>
        <w:tc>
          <w:tcPr>
            <w:tcW w:w="1557" w:type="dxa"/>
            <w:noWrap w:val="0"/>
            <w:vAlign w:val="center"/>
          </w:tcPr>
          <w:p>
            <w:pPr>
              <w:widowControl/>
              <w:spacing w:line="0" w:lineRule="atLeast"/>
              <w:ind w:firstLine="560"/>
              <w:jc w:val="center"/>
              <w:rPr>
                <w:rFonts w:ascii="Times New Roman" w:hAnsi="Times New Roman"/>
                <w:sz w:val="28"/>
                <w:szCs w:val="28"/>
              </w:rPr>
            </w:pPr>
          </w:p>
        </w:tc>
        <w:tc>
          <w:tcPr>
            <w:tcW w:w="1801" w:type="dxa"/>
            <w:gridSpan w:val="2"/>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75-52-5</w:t>
            </w:r>
          </w:p>
        </w:tc>
        <w:tc>
          <w:tcPr>
            <w:tcW w:w="3027" w:type="dxa"/>
            <w:gridSpan w:val="2"/>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易燃液体，类别3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8.2</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硝基乙烷</w:t>
            </w:r>
          </w:p>
        </w:tc>
        <w:tc>
          <w:tcPr>
            <w:tcW w:w="1557" w:type="dxa"/>
            <w:noWrap w:val="0"/>
            <w:vAlign w:val="center"/>
          </w:tcPr>
          <w:p>
            <w:pPr>
              <w:widowControl/>
              <w:spacing w:line="0" w:lineRule="atLeast"/>
              <w:ind w:firstLine="560"/>
              <w:jc w:val="center"/>
              <w:rPr>
                <w:rFonts w:ascii="Times New Roman" w:hAnsi="Times New Roman"/>
                <w:sz w:val="28"/>
                <w:szCs w:val="28"/>
              </w:rPr>
            </w:pPr>
          </w:p>
        </w:tc>
        <w:tc>
          <w:tcPr>
            <w:tcW w:w="1801" w:type="dxa"/>
            <w:gridSpan w:val="2"/>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79-24-3</w:t>
            </w:r>
          </w:p>
        </w:tc>
        <w:tc>
          <w:tcPr>
            <w:tcW w:w="3027" w:type="dxa"/>
            <w:gridSpan w:val="2"/>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易燃液体，类别3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8.3</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2，4-二硝基甲苯</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noWrap w:val="0"/>
            <w:vAlign w:val="center"/>
          </w:tcPr>
          <w:p>
            <w:pPr>
              <w:widowControl/>
              <w:spacing w:line="310" w:lineRule="exact"/>
              <w:ind w:leftChars="-33" w:hanging="106" w:hangingChars="38"/>
              <w:jc w:val="center"/>
              <w:rPr>
                <w:rFonts w:ascii="Times New Roman" w:hAnsi="Times New Roman"/>
                <w:sz w:val="28"/>
                <w:szCs w:val="28"/>
              </w:rPr>
            </w:pPr>
            <w:r>
              <w:rPr>
                <w:rFonts w:ascii="Times New Roman" w:hAnsi="Times New Roman"/>
                <w:sz w:val="28"/>
                <w:szCs w:val="28"/>
              </w:rPr>
              <w:t>121-14-2</w:t>
            </w:r>
          </w:p>
        </w:tc>
        <w:tc>
          <w:tcPr>
            <w:tcW w:w="3027" w:type="dxa"/>
            <w:gridSpan w:val="2"/>
            <w:noWrap w:val="0"/>
            <w:vAlign w:val="center"/>
          </w:tcPr>
          <w:p>
            <w:pPr>
              <w:widowControl/>
              <w:spacing w:line="0" w:lineRule="atLeast"/>
              <w:ind w:firstLine="0" w:firstLineChars="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8.4</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2，6-二硝基甲苯</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noWrap w:val="0"/>
            <w:vAlign w:val="center"/>
          </w:tcPr>
          <w:p>
            <w:pPr>
              <w:widowControl/>
              <w:spacing w:line="310" w:lineRule="exact"/>
              <w:ind w:leftChars="-33" w:hanging="106" w:hangingChars="38"/>
              <w:jc w:val="center"/>
              <w:rPr>
                <w:rFonts w:ascii="Times New Roman" w:hAnsi="Times New Roman"/>
                <w:sz w:val="28"/>
                <w:szCs w:val="28"/>
              </w:rPr>
            </w:pPr>
            <w:r>
              <w:rPr>
                <w:rFonts w:ascii="Times New Roman" w:hAnsi="Times New Roman"/>
                <w:sz w:val="28"/>
                <w:szCs w:val="28"/>
              </w:rPr>
              <w:t>606-20-2</w:t>
            </w:r>
          </w:p>
        </w:tc>
        <w:tc>
          <w:tcPr>
            <w:tcW w:w="3027" w:type="dxa"/>
            <w:gridSpan w:val="2"/>
            <w:noWrap w:val="0"/>
            <w:vAlign w:val="center"/>
          </w:tcPr>
          <w:p>
            <w:pPr>
              <w:widowControl/>
              <w:spacing w:line="0" w:lineRule="atLeast"/>
              <w:ind w:firstLine="0" w:firstLineChars="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8.5</w:t>
            </w:r>
          </w:p>
        </w:tc>
        <w:tc>
          <w:tcPr>
            <w:tcW w:w="1605" w:type="dxa"/>
            <w:noWrap w:val="0"/>
            <w:vAlign w:val="center"/>
          </w:tcPr>
          <w:p>
            <w:pPr>
              <w:widowControl/>
              <w:spacing w:line="0" w:lineRule="atLeast"/>
              <w:ind w:firstLine="0" w:firstLineChars="0"/>
              <w:rPr>
                <w:rFonts w:ascii="Times New Roman" w:hAnsi="Times New Roman"/>
                <w:spacing w:val="-30"/>
                <w:sz w:val="28"/>
                <w:szCs w:val="28"/>
              </w:rPr>
            </w:pPr>
            <w:r>
              <w:rPr>
                <w:rFonts w:ascii="Times New Roman" w:hAnsi="Times New Roman"/>
                <w:spacing w:val="-30"/>
                <w:sz w:val="28"/>
                <w:szCs w:val="28"/>
              </w:rPr>
              <w:t>1，5-二硝基萘</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noWrap w:val="0"/>
            <w:vAlign w:val="center"/>
          </w:tcPr>
          <w:p>
            <w:pPr>
              <w:widowControl/>
              <w:spacing w:line="360" w:lineRule="exact"/>
              <w:ind w:firstLine="0" w:firstLineChars="0"/>
              <w:jc w:val="center"/>
              <w:rPr>
                <w:rFonts w:ascii="Times New Roman" w:hAnsi="Times New Roman"/>
                <w:sz w:val="28"/>
                <w:szCs w:val="28"/>
              </w:rPr>
            </w:pPr>
            <w:r>
              <w:rPr>
                <w:rFonts w:ascii="Times New Roman" w:hAnsi="Times New Roman"/>
                <w:sz w:val="28"/>
                <w:szCs w:val="28"/>
              </w:rPr>
              <w:t>605-71-0</w:t>
            </w:r>
          </w:p>
        </w:tc>
        <w:tc>
          <w:tcPr>
            <w:tcW w:w="3027" w:type="dxa"/>
            <w:gridSpan w:val="2"/>
            <w:noWrap w:val="0"/>
            <w:vAlign w:val="center"/>
          </w:tcPr>
          <w:p>
            <w:pPr>
              <w:widowControl/>
              <w:spacing w:line="360" w:lineRule="exact"/>
              <w:ind w:firstLine="0" w:firstLineChars="0"/>
              <w:jc w:val="center"/>
              <w:rPr>
                <w:rFonts w:ascii="Times New Roman" w:hAnsi="Times New Roman"/>
                <w:sz w:val="28"/>
                <w:szCs w:val="28"/>
              </w:rPr>
            </w:pPr>
            <w:r>
              <w:rPr>
                <w:rFonts w:ascii="Times New Roman" w:hAnsi="Times New Roman"/>
                <w:sz w:val="28"/>
                <w:szCs w:val="28"/>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8.6</w:t>
            </w:r>
          </w:p>
        </w:tc>
        <w:tc>
          <w:tcPr>
            <w:tcW w:w="1605" w:type="dxa"/>
            <w:noWrap w:val="0"/>
            <w:vAlign w:val="center"/>
          </w:tcPr>
          <w:p>
            <w:pPr>
              <w:widowControl/>
              <w:spacing w:line="0" w:lineRule="atLeast"/>
              <w:ind w:firstLine="0" w:firstLineChars="0"/>
              <w:jc w:val="center"/>
              <w:rPr>
                <w:rFonts w:ascii="Times New Roman" w:hAnsi="Times New Roman"/>
                <w:spacing w:val="-30"/>
                <w:sz w:val="28"/>
                <w:szCs w:val="28"/>
              </w:rPr>
            </w:pPr>
            <w:r>
              <w:rPr>
                <w:rFonts w:ascii="Times New Roman" w:hAnsi="Times New Roman"/>
                <w:spacing w:val="-30"/>
                <w:sz w:val="28"/>
                <w:szCs w:val="28"/>
              </w:rPr>
              <w:t>1，8-二硝基萘</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noWrap w:val="0"/>
            <w:vAlign w:val="center"/>
          </w:tcPr>
          <w:p>
            <w:pPr>
              <w:widowControl/>
              <w:spacing w:line="360" w:lineRule="exact"/>
              <w:ind w:firstLine="0" w:firstLineChars="0"/>
              <w:jc w:val="center"/>
              <w:rPr>
                <w:rFonts w:ascii="Times New Roman" w:hAnsi="Times New Roman"/>
                <w:sz w:val="28"/>
                <w:szCs w:val="28"/>
              </w:rPr>
            </w:pPr>
            <w:r>
              <w:rPr>
                <w:rFonts w:ascii="Times New Roman" w:hAnsi="Times New Roman"/>
                <w:sz w:val="28"/>
                <w:szCs w:val="28"/>
              </w:rPr>
              <w:t>602-38-0</w:t>
            </w:r>
          </w:p>
        </w:tc>
        <w:tc>
          <w:tcPr>
            <w:tcW w:w="3027" w:type="dxa"/>
            <w:gridSpan w:val="2"/>
            <w:noWrap w:val="0"/>
            <w:vAlign w:val="center"/>
          </w:tcPr>
          <w:p>
            <w:pPr>
              <w:widowControl/>
              <w:spacing w:line="360" w:lineRule="exact"/>
              <w:ind w:firstLine="0" w:firstLineChars="0"/>
              <w:jc w:val="center"/>
              <w:rPr>
                <w:rFonts w:ascii="Times New Roman" w:hAnsi="Times New Roman"/>
                <w:sz w:val="28"/>
                <w:szCs w:val="28"/>
              </w:rPr>
            </w:pPr>
            <w:r>
              <w:rPr>
                <w:rFonts w:ascii="Times New Roman" w:hAnsi="Times New Roman"/>
                <w:sz w:val="28"/>
                <w:szCs w:val="28"/>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restart"/>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8.7</w:t>
            </w:r>
          </w:p>
        </w:tc>
        <w:tc>
          <w:tcPr>
            <w:tcW w:w="1605" w:type="dxa"/>
            <w:noWrap w:val="0"/>
            <w:vAlign w:val="center"/>
          </w:tcPr>
          <w:p>
            <w:pPr>
              <w:widowControl/>
              <w:spacing w:line="320" w:lineRule="exact"/>
              <w:ind w:firstLine="0" w:firstLineChars="0"/>
              <w:jc w:val="center"/>
              <w:rPr>
                <w:rFonts w:ascii="Times New Roman" w:hAnsi="Times New Roman"/>
                <w:sz w:val="28"/>
                <w:szCs w:val="28"/>
              </w:rPr>
            </w:pPr>
            <w:r>
              <w:rPr>
                <w:rFonts w:ascii="Times New Roman" w:hAnsi="Times New Roman"/>
                <w:sz w:val="28"/>
                <w:szCs w:val="28"/>
              </w:rPr>
              <w:t>二硝基苯酚[干的或含水＜15%]</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vMerge w:val="restart"/>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25550-58-7</w:t>
            </w:r>
          </w:p>
        </w:tc>
        <w:tc>
          <w:tcPr>
            <w:tcW w:w="3027"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爆炸物，1.1项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continue"/>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320" w:lineRule="exact"/>
              <w:ind w:firstLine="0" w:firstLineChars="0"/>
              <w:jc w:val="center"/>
              <w:rPr>
                <w:rFonts w:ascii="Times New Roman" w:hAnsi="Times New Roman"/>
                <w:sz w:val="28"/>
                <w:szCs w:val="28"/>
              </w:rPr>
            </w:pPr>
            <w:r>
              <w:rPr>
                <w:rFonts w:ascii="Times New Roman" w:hAnsi="Times New Roman"/>
                <w:sz w:val="28"/>
                <w:szCs w:val="28"/>
              </w:rPr>
              <w:t>二硝基苯酚溶液</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vMerge w:val="continue"/>
            <w:noWrap w:val="0"/>
            <w:vAlign w:val="center"/>
          </w:tcPr>
          <w:p>
            <w:pPr>
              <w:widowControl/>
              <w:spacing w:line="0" w:lineRule="atLeast"/>
              <w:ind w:firstLine="0" w:firstLineChars="0"/>
              <w:jc w:val="center"/>
              <w:rPr>
                <w:rFonts w:ascii="Times New Roman" w:hAnsi="Times New Roman"/>
                <w:sz w:val="28"/>
                <w:szCs w:val="28"/>
              </w:rPr>
            </w:pPr>
          </w:p>
        </w:tc>
        <w:tc>
          <w:tcPr>
            <w:tcW w:w="3027" w:type="dxa"/>
            <w:gridSpan w:val="2"/>
            <w:noWrap w:val="0"/>
            <w:vAlign w:val="center"/>
          </w:tcPr>
          <w:p>
            <w:pPr>
              <w:widowControl/>
              <w:spacing w:line="0" w:lineRule="atLeast"/>
              <w:ind w:firstLine="0" w:firstLineChars="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8.8</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2，4-二硝基苯酚[含水≥15%]</w:t>
            </w:r>
          </w:p>
        </w:tc>
        <w:tc>
          <w:tcPr>
            <w:tcW w:w="1557"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1-羟基-2，</w:t>
            </w:r>
            <w:r>
              <w:rPr>
                <w:rFonts w:ascii="Times New Roman" w:hAnsi="Times New Roman"/>
                <w:spacing w:val="-10"/>
                <w:sz w:val="28"/>
                <w:szCs w:val="28"/>
              </w:rPr>
              <w:t>4-二硝基苯</w:t>
            </w:r>
          </w:p>
        </w:tc>
        <w:tc>
          <w:tcPr>
            <w:tcW w:w="1801"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51-28-5</w:t>
            </w:r>
          </w:p>
        </w:tc>
        <w:tc>
          <w:tcPr>
            <w:tcW w:w="3027"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8.9</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2，5-二硝基苯酚[含水≥15%]</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329-71-5</w:t>
            </w:r>
          </w:p>
        </w:tc>
        <w:tc>
          <w:tcPr>
            <w:tcW w:w="3027"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8.10</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2，6-二硝基苯酚[含水≥15%]</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573-56-8</w:t>
            </w:r>
          </w:p>
        </w:tc>
        <w:tc>
          <w:tcPr>
            <w:tcW w:w="3027"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shd w:val="clear" w:color="auto" w:fill="auto"/>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8.11</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2，4-二硝基苯酚钠</w:t>
            </w:r>
          </w:p>
        </w:tc>
        <w:tc>
          <w:tcPr>
            <w:tcW w:w="1557" w:type="dxa"/>
            <w:noWrap w:val="0"/>
            <w:vAlign w:val="center"/>
          </w:tcPr>
          <w:p>
            <w:pPr>
              <w:widowControl/>
              <w:spacing w:line="0" w:lineRule="atLeast"/>
              <w:ind w:firstLine="0" w:firstLineChars="0"/>
              <w:jc w:val="center"/>
              <w:rPr>
                <w:rFonts w:ascii="Times New Roman" w:hAnsi="Times New Roman"/>
                <w:sz w:val="28"/>
                <w:szCs w:val="28"/>
              </w:rPr>
            </w:pPr>
          </w:p>
        </w:tc>
        <w:tc>
          <w:tcPr>
            <w:tcW w:w="1801"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1011-73-0</w:t>
            </w:r>
          </w:p>
        </w:tc>
        <w:tc>
          <w:tcPr>
            <w:tcW w:w="3027"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爆炸物，1.3项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897" w:type="dxa"/>
            <w:gridSpan w:val="7"/>
            <w:shd w:val="clear" w:color="auto" w:fill="auto"/>
            <w:noWrap w:val="0"/>
            <w:vAlign w:val="center"/>
          </w:tcPr>
          <w:p>
            <w:pPr>
              <w:spacing w:line="0" w:lineRule="atLeast"/>
              <w:ind w:firstLine="0" w:firstLineChars="0"/>
              <w:rPr>
                <w:rFonts w:ascii="Times New Roman" w:hAnsi="Times New Roman" w:eastAsia="黑体"/>
                <w:sz w:val="28"/>
                <w:szCs w:val="28"/>
              </w:rPr>
            </w:pPr>
            <w:r>
              <w:rPr>
                <w:rFonts w:ascii="Times New Roman" w:hAnsi="Times New Roman" w:eastAsia="黑体"/>
                <w:sz w:val="28"/>
                <w:szCs w:val="28"/>
              </w:rPr>
              <w:t>9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907" w:type="dxa"/>
            <w:vMerge w:val="restart"/>
            <w:shd w:val="clear" w:color="auto" w:fill="auto"/>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9.1</w:t>
            </w:r>
          </w:p>
        </w:tc>
        <w:tc>
          <w:tcPr>
            <w:tcW w:w="1605" w:type="dxa"/>
            <w:noWrap w:val="0"/>
            <w:vAlign w:val="center"/>
          </w:tcPr>
          <w:p>
            <w:pPr>
              <w:widowControl/>
              <w:spacing w:line="330" w:lineRule="exact"/>
              <w:ind w:firstLine="0" w:firstLineChars="0"/>
              <w:rPr>
                <w:rFonts w:ascii="Times New Roman" w:hAnsi="Times New Roman"/>
                <w:sz w:val="28"/>
                <w:szCs w:val="28"/>
              </w:rPr>
            </w:pPr>
            <w:r>
              <w:rPr>
                <w:rFonts w:ascii="Times New Roman" w:hAnsi="Times New Roman"/>
                <w:sz w:val="28"/>
                <w:szCs w:val="28"/>
              </w:rPr>
              <w:t>硝化纤维素[干的或含水（或乙醇）＜25%]</w:t>
            </w:r>
          </w:p>
        </w:tc>
        <w:tc>
          <w:tcPr>
            <w:tcW w:w="1565" w:type="dxa"/>
            <w:gridSpan w:val="2"/>
            <w:vMerge w:val="restart"/>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硝化棉</w:t>
            </w:r>
          </w:p>
        </w:tc>
        <w:tc>
          <w:tcPr>
            <w:tcW w:w="1833" w:type="dxa"/>
            <w:gridSpan w:val="2"/>
            <w:vMerge w:val="restart"/>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9004-70-0</w:t>
            </w:r>
          </w:p>
        </w:tc>
        <w:tc>
          <w:tcPr>
            <w:tcW w:w="2987" w:type="dxa"/>
            <w:noWrap w:val="0"/>
            <w:vAlign w:val="center"/>
          </w:tcPr>
          <w:p>
            <w:pPr>
              <w:widowControl/>
              <w:spacing w:line="330" w:lineRule="exact"/>
              <w:ind w:firstLine="0" w:firstLineChars="0"/>
              <w:jc w:val="center"/>
              <w:rPr>
                <w:rFonts w:ascii="Times New Roman" w:hAnsi="Times New Roman"/>
                <w:sz w:val="28"/>
                <w:szCs w:val="28"/>
              </w:rPr>
            </w:pPr>
            <w:r>
              <w:rPr>
                <w:rFonts w:ascii="Times New Roman" w:hAnsi="Times New Roman"/>
                <w:sz w:val="28"/>
                <w:szCs w:val="28"/>
              </w:rPr>
              <w:t>爆炸物，1.1项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907" w:type="dxa"/>
            <w:vMerge w:val="continue"/>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330" w:lineRule="exact"/>
              <w:ind w:firstLine="0" w:firstLineChars="0"/>
              <w:rPr>
                <w:rFonts w:ascii="Times New Roman" w:hAnsi="Times New Roman"/>
                <w:sz w:val="28"/>
                <w:szCs w:val="28"/>
              </w:rPr>
            </w:pPr>
            <w:r>
              <w:rPr>
                <w:rFonts w:ascii="Times New Roman" w:hAnsi="Times New Roman"/>
                <w:sz w:val="28"/>
                <w:szCs w:val="28"/>
              </w:rPr>
              <w:t>硝化纤维素[含氮≤12.6%，含乙醇≥25%]</w:t>
            </w:r>
          </w:p>
        </w:tc>
        <w:tc>
          <w:tcPr>
            <w:tcW w:w="1565" w:type="dxa"/>
            <w:gridSpan w:val="2"/>
            <w:vMerge w:val="continue"/>
            <w:noWrap w:val="0"/>
            <w:vAlign w:val="center"/>
          </w:tcPr>
          <w:p>
            <w:pPr>
              <w:spacing w:line="0" w:lineRule="atLeast"/>
              <w:ind w:firstLine="560"/>
              <w:jc w:val="center"/>
              <w:rPr>
                <w:rFonts w:ascii="Times New Roman" w:hAnsi="Times New Roman"/>
                <w:sz w:val="28"/>
                <w:szCs w:val="28"/>
              </w:rPr>
            </w:pPr>
          </w:p>
        </w:tc>
        <w:tc>
          <w:tcPr>
            <w:tcW w:w="1833" w:type="dxa"/>
            <w:gridSpan w:val="2"/>
            <w:vMerge w:val="continue"/>
            <w:noWrap w:val="0"/>
            <w:vAlign w:val="center"/>
          </w:tcPr>
          <w:p>
            <w:pPr>
              <w:spacing w:line="0" w:lineRule="atLeast"/>
              <w:ind w:firstLine="560"/>
              <w:jc w:val="center"/>
              <w:rPr>
                <w:rFonts w:ascii="Times New Roman" w:hAnsi="Times New Roman"/>
                <w:sz w:val="28"/>
                <w:szCs w:val="28"/>
              </w:rPr>
            </w:pPr>
          </w:p>
        </w:tc>
        <w:tc>
          <w:tcPr>
            <w:tcW w:w="2987" w:type="dxa"/>
            <w:noWrap w:val="0"/>
            <w:vAlign w:val="center"/>
          </w:tcPr>
          <w:p>
            <w:pPr>
              <w:widowControl/>
              <w:spacing w:line="330" w:lineRule="exact"/>
              <w:ind w:firstLine="0" w:firstLineChars="0"/>
              <w:jc w:val="center"/>
              <w:rPr>
                <w:rFonts w:ascii="Times New Roman" w:hAnsi="Times New Roman"/>
                <w:sz w:val="28"/>
                <w:szCs w:val="28"/>
              </w:rPr>
            </w:pPr>
            <w:r>
              <w:rPr>
                <w:rFonts w:ascii="Times New Roman" w:hAnsi="Times New Roman"/>
                <w:sz w:val="28"/>
                <w:szCs w:val="28"/>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907" w:type="dxa"/>
            <w:vMerge w:val="continue"/>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330" w:lineRule="exact"/>
              <w:ind w:firstLine="0" w:firstLineChars="0"/>
              <w:rPr>
                <w:rFonts w:ascii="Times New Roman" w:hAnsi="Times New Roman"/>
                <w:sz w:val="28"/>
                <w:szCs w:val="28"/>
              </w:rPr>
            </w:pPr>
            <w:r>
              <w:rPr>
                <w:rFonts w:ascii="Times New Roman" w:hAnsi="Times New Roman"/>
                <w:sz w:val="28"/>
                <w:szCs w:val="28"/>
              </w:rPr>
              <w:t>硝化纤维素[含氮≤12.6%]</w:t>
            </w:r>
          </w:p>
        </w:tc>
        <w:tc>
          <w:tcPr>
            <w:tcW w:w="1565" w:type="dxa"/>
            <w:gridSpan w:val="2"/>
            <w:vMerge w:val="continue"/>
            <w:noWrap w:val="0"/>
            <w:vAlign w:val="center"/>
          </w:tcPr>
          <w:p>
            <w:pPr>
              <w:spacing w:line="0" w:lineRule="atLeast"/>
              <w:ind w:firstLine="560"/>
              <w:jc w:val="center"/>
              <w:rPr>
                <w:rFonts w:ascii="Times New Roman" w:hAnsi="Times New Roman"/>
                <w:sz w:val="28"/>
                <w:szCs w:val="28"/>
              </w:rPr>
            </w:pPr>
          </w:p>
        </w:tc>
        <w:tc>
          <w:tcPr>
            <w:tcW w:w="1833" w:type="dxa"/>
            <w:gridSpan w:val="2"/>
            <w:vMerge w:val="continue"/>
            <w:noWrap w:val="0"/>
            <w:vAlign w:val="center"/>
          </w:tcPr>
          <w:p>
            <w:pPr>
              <w:spacing w:line="0" w:lineRule="atLeast"/>
              <w:ind w:firstLine="560"/>
              <w:jc w:val="center"/>
              <w:rPr>
                <w:rFonts w:ascii="Times New Roman" w:hAnsi="Times New Roman"/>
                <w:sz w:val="28"/>
                <w:szCs w:val="28"/>
              </w:rPr>
            </w:pPr>
          </w:p>
        </w:tc>
        <w:tc>
          <w:tcPr>
            <w:tcW w:w="2987" w:type="dxa"/>
            <w:noWrap w:val="0"/>
            <w:vAlign w:val="center"/>
          </w:tcPr>
          <w:p>
            <w:pPr>
              <w:widowControl/>
              <w:spacing w:line="330" w:lineRule="exact"/>
              <w:ind w:left="-2" w:leftChars="-1" w:firstLine="0" w:firstLineChars="0"/>
              <w:jc w:val="center"/>
              <w:rPr>
                <w:rFonts w:ascii="Times New Roman" w:hAnsi="Times New Roman"/>
                <w:sz w:val="28"/>
                <w:szCs w:val="28"/>
              </w:rPr>
            </w:pPr>
            <w:r>
              <w:rPr>
                <w:rFonts w:ascii="Times New Roman" w:hAnsi="Times New Roman"/>
                <w:sz w:val="28"/>
                <w:szCs w:val="28"/>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907" w:type="dxa"/>
            <w:vMerge w:val="continue"/>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330" w:lineRule="exact"/>
              <w:ind w:firstLine="0" w:firstLineChars="0"/>
              <w:rPr>
                <w:rFonts w:ascii="Times New Roman" w:hAnsi="Times New Roman"/>
                <w:sz w:val="28"/>
                <w:szCs w:val="28"/>
              </w:rPr>
            </w:pPr>
            <w:r>
              <w:rPr>
                <w:rFonts w:ascii="Times New Roman" w:hAnsi="Times New Roman"/>
                <w:sz w:val="28"/>
                <w:szCs w:val="28"/>
              </w:rPr>
              <w:t>硝化纤维素[含水≥25%]</w:t>
            </w:r>
          </w:p>
        </w:tc>
        <w:tc>
          <w:tcPr>
            <w:tcW w:w="1565" w:type="dxa"/>
            <w:gridSpan w:val="2"/>
            <w:vMerge w:val="continue"/>
            <w:noWrap w:val="0"/>
            <w:vAlign w:val="center"/>
          </w:tcPr>
          <w:p>
            <w:pPr>
              <w:spacing w:line="0" w:lineRule="atLeast"/>
              <w:ind w:firstLine="560"/>
              <w:jc w:val="center"/>
              <w:rPr>
                <w:rFonts w:ascii="Times New Roman" w:hAnsi="Times New Roman"/>
                <w:sz w:val="28"/>
                <w:szCs w:val="28"/>
              </w:rPr>
            </w:pPr>
          </w:p>
        </w:tc>
        <w:tc>
          <w:tcPr>
            <w:tcW w:w="1833" w:type="dxa"/>
            <w:gridSpan w:val="2"/>
            <w:vMerge w:val="continue"/>
            <w:noWrap w:val="0"/>
            <w:vAlign w:val="center"/>
          </w:tcPr>
          <w:p>
            <w:pPr>
              <w:spacing w:line="0" w:lineRule="atLeast"/>
              <w:ind w:firstLine="560"/>
              <w:jc w:val="center"/>
              <w:rPr>
                <w:rFonts w:ascii="Times New Roman" w:hAnsi="Times New Roman"/>
                <w:sz w:val="28"/>
                <w:szCs w:val="28"/>
              </w:rPr>
            </w:pPr>
          </w:p>
        </w:tc>
        <w:tc>
          <w:tcPr>
            <w:tcW w:w="2987" w:type="dxa"/>
            <w:noWrap w:val="0"/>
            <w:vAlign w:val="center"/>
          </w:tcPr>
          <w:p>
            <w:pPr>
              <w:widowControl/>
              <w:spacing w:line="330" w:lineRule="exact"/>
              <w:ind w:firstLine="42" w:firstLineChars="15"/>
              <w:jc w:val="center"/>
              <w:rPr>
                <w:rFonts w:ascii="Times New Roman" w:hAnsi="Times New Roman"/>
                <w:sz w:val="28"/>
                <w:szCs w:val="28"/>
              </w:rPr>
            </w:pPr>
            <w:r>
              <w:rPr>
                <w:rFonts w:ascii="Times New Roman" w:hAnsi="Times New Roman"/>
                <w:sz w:val="28"/>
                <w:szCs w:val="28"/>
              </w:rPr>
              <w:t>易燃固体，类别1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907" w:type="dxa"/>
            <w:vMerge w:val="continue"/>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330" w:lineRule="exact"/>
              <w:ind w:firstLine="0" w:firstLineChars="0"/>
              <w:rPr>
                <w:rFonts w:ascii="Times New Roman" w:hAnsi="Times New Roman"/>
                <w:sz w:val="28"/>
                <w:szCs w:val="28"/>
              </w:rPr>
            </w:pPr>
            <w:r>
              <w:rPr>
                <w:rFonts w:ascii="Times New Roman" w:hAnsi="Times New Roman"/>
                <w:sz w:val="28"/>
                <w:szCs w:val="28"/>
              </w:rPr>
              <w:t>硝化纤维素[含乙醇≥25%]</w:t>
            </w:r>
          </w:p>
        </w:tc>
        <w:tc>
          <w:tcPr>
            <w:tcW w:w="1565" w:type="dxa"/>
            <w:gridSpan w:val="2"/>
            <w:vMerge w:val="continue"/>
            <w:noWrap w:val="0"/>
            <w:vAlign w:val="center"/>
          </w:tcPr>
          <w:p>
            <w:pPr>
              <w:spacing w:line="0" w:lineRule="atLeast"/>
              <w:ind w:firstLine="560"/>
              <w:jc w:val="center"/>
              <w:rPr>
                <w:rFonts w:ascii="Times New Roman" w:hAnsi="Times New Roman"/>
                <w:sz w:val="28"/>
                <w:szCs w:val="28"/>
              </w:rPr>
            </w:pPr>
          </w:p>
        </w:tc>
        <w:tc>
          <w:tcPr>
            <w:tcW w:w="1833" w:type="dxa"/>
            <w:gridSpan w:val="2"/>
            <w:vMerge w:val="continue"/>
            <w:noWrap w:val="0"/>
            <w:vAlign w:val="center"/>
          </w:tcPr>
          <w:p>
            <w:pPr>
              <w:spacing w:line="0" w:lineRule="atLeast"/>
              <w:ind w:firstLine="560"/>
              <w:jc w:val="center"/>
              <w:rPr>
                <w:rFonts w:ascii="Times New Roman" w:hAnsi="Times New Roman"/>
                <w:sz w:val="28"/>
                <w:szCs w:val="28"/>
              </w:rPr>
            </w:pPr>
          </w:p>
        </w:tc>
        <w:tc>
          <w:tcPr>
            <w:tcW w:w="2987" w:type="dxa"/>
            <w:noWrap w:val="0"/>
            <w:vAlign w:val="center"/>
          </w:tcPr>
          <w:p>
            <w:pPr>
              <w:widowControl/>
              <w:spacing w:line="330" w:lineRule="exact"/>
              <w:ind w:firstLine="0" w:firstLineChars="0"/>
              <w:jc w:val="center"/>
              <w:rPr>
                <w:rFonts w:ascii="Times New Roman" w:hAnsi="Times New Roman"/>
                <w:sz w:val="28"/>
                <w:szCs w:val="28"/>
              </w:rPr>
            </w:pPr>
            <w:r>
              <w:rPr>
                <w:rFonts w:ascii="Times New Roman" w:hAnsi="Times New Roman"/>
                <w:sz w:val="28"/>
                <w:szCs w:val="28"/>
              </w:rPr>
              <w:t>爆炸物，1.3项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907" w:type="dxa"/>
            <w:vMerge w:val="continue"/>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330" w:lineRule="exact"/>
              <w:ind w:firstLine="0" w:firstLineChars="0"/>
              <w:rPr>
                <w:rFonts w:ascii="Times New Roman" w:hAnsi="Times New Roman"/>
                <w:sz w:val="28"/>
                <w:szCs w:val="28"/>
              </w:rPr>
            </w:pPr>
            <w:r>
              <w:rPr>
                <w:rFonts w:ascii="Times New Roman" w:hAnsi="Times New Roman"/>
                <w:sz w:val="28"/>
                <w:szCs w:val="28"/>
              </w:rPr>
              <w:t>硝化纤维素[未改型的，或增塑的，含增塑剂＜18%]</w:t>
            </w:r>
          </w:p>
        </w:tc>
        <w:tc>
          <w:tcPr>
            <w:tcW w:w="1565" w:type="dxa"/>
            <w:gridSpan w:val="2"/>
            <w:vMerge w:val="continue"/>
            <w:noWrap w:val="0"/>
            <w:vAlign w:val="center"/>
          </w:tcPr>
          <w:p>
            <w:pPr>
              <w:spacing w:line="0" w:lineRule="atLeast"/>
              <w:ind w:firstLine="560"/>
              <w:jc w:val="center"/>
              <w:rPr>
                <w:rFonts w:ascii="Times New Roman" w:hAnsi="Times New Roman"/>
                <w:sz w:val="28"/>
                <w:szCs w:val="28"/>
              </w:rPr>
            </w:pPr>
          </w:p>
        </w:tc>
        <w:tc>
          <w:tcPr>
            <w:tcW w:w="1833" w:type="dxa"/>
            <w:gridSpan w:val="2"/>
            <w:vMerge w:val="continue"/>
            <w:noWrap w:val="0"/>
            <w:vAlign w:val="center"/>
          </w:tcPr>
          <w:p>
            <w:pPr>
              <w:spacing w:line="0" w:lineRule="atLeast"/>
              <w:ind w:firstLine="560"/>
              <w:jc w:val="center"/>
              <w:rPr>
                <w:rFonts w:ascii="Times New Roman" w:hAnsi="Times New Roman"/>
                <w:sz w:val="28"/>
                <w:szCs w:val="28"/>
              </w:rPr>
            </w:pPr>
          </w:p>
        </w:tc>
        <w:tc>
          <w:tcPr>
            <w:tcW w:w="2987" w:type="dxa"/>
            <w:noWrap w:val="0"/>
            <w:vAlign w:val="center"/>
          </w:tcPr>
          <w:p>
            <w:pPr>
              <w:widowControl/>
              <w:spacing w:line="330" w:lineRule="exact"/>
              <w:ind w:firstLine="560"/>
              <w:rPr>
                <w:rFonts w:ascii="Times New Roman" w:hAnsi="Times New Roman"/>
                <w:sz w:val="28"/>
                <w:szCs w:val="28"/>
              </w:rPr>
            </w:pPr>
            <w:r>
              <w:rPr>
                <w:rFonts w:ascii="Times New Roman" w:hAnsi="Times New Roman"/>
                <w:sz w:val="28"/>
                <w:szCs w:val="28"/>
              </w:rPr>
              <w:t>爆炸物，1.1项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vMerge w:val="continue"/>
            <w:shd w:val="clear" w:color="auto" w:fill="auto"/>
            <w:noWrap w:val="0"/>
            <w:vAlign w:val="center"/>
          </w:tcPr>
          <w:p>
            <w:pPr>
              <w:spacing w:line="0" w:lineRule="atLeast"/>
              <w:ind w:firstLine="0" w:firstLineChars="0"/>
              <w:jc w:val="center"/>
              <w:rPr>
                <w:rFonts w:ascii="Times New Roman" w:hAnsi="Times New Roman"/>
                <w:sz w:val="28"/>
                <w:szCs w:val="28"/>
              </w:rPr>
            </w:pP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硝化纤维素溶液[含氮量≤12.6%，含硝化纤维素≤55%]</w:t>
            </w:r>
          </w:p>
        </w:tc>
        <w:tc>
          <w:tcPr>
            <w:tcW w:w="1565" w:type="dxa"/>
            <w:gridSpan w:val="2"/>
            <w:noWrap w:val="0"/>
            <w:vAlign w:val="center"/>
          </w:tcPr>
          <w:p>
            <w:pPr>
              <w:spacing w:line="0" w:lineRule="atLeast"/>
              <w:ind w:firstLine="0" w:firstLineChars="0"/>
              <w:jc w:val="center"/>
              <w:rPr>
                <w:rFonts w:ascii="Times New Roman" w:hAnsi="Times New Roman"/>
                <w:spacing w:val="-10"/>
                <w:sz w:val="28"/>
                <w:szCs w:val="28"/>
              </w:rPr>
            </w:pPr>
            <w:r>
              <w:rPr>
                <w:rFonts w:ascii="Times New Roman" w:hAnsi="Times New Roman"/>
                <w:spacing w:val="-10"/>
                <w:sz w:val="28"/>
                <w:szCs w:val="28"/>
              </w:rPr>
              <w:t>硝化棉溶液</w:t>
            </w:r>
          </w:p>
        </w:tc>
        <w:tc>
          <w:tcPr>
            <w:tcW w:w="1833" w:type="dxa"/>
            <w:gridSpan w:val="2"/>
            <w:vMerge w:val="continue"/>
            <w:noWrap w:val="0"/>
            <w:vAlign w:val="center"/>
          </w:tcPr>
          <w:p>
            <w:pPr>
              <w:spacing w:line="0" w:lineRule="atLeast"/>
              <w:ind w:firstLine="0" w:firstLineChars="0"/>
              <w:jc w:val="center"/>
              <w:rPr>
                <w:rFonts w:ascii="Times New Roman" w:hAnsi="Times New Roman"/>
                <w:sz w:val="28"/>
                <w:szCs w:val="28"/>
              </w:rPr>
            </w:pP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易燃液体，类别2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shd w:val="clear" w:color="auto" w:fill="auto"/>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9.2</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4，6-二硝基-2-氨基苯酚钠</w:t>
            </w:r>
          </w:p>
        </w:tc>
        <w:tc>
          <w:tcPr>
            <w:tcW w:w="1565" w:type="dxa"/>
            <w:gridSpan w:val="2"/>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苦氨酸钠</w:t>
            </w:r>
          </w:p>
        </w:tc>
        <w:tc>
          <w:tcPr>
            <w:tcW w:w="1833" w:type="dxa"/>
            <w:gridSpan w:val="2"/>
            <w:noWrap w:val="0"/>
            <w:vAlign w:val="center"/>
          </w:tcPr>
          <w:p>
            <w:pPr>
              <w:spacing w:line="0" w:lineRule="atLeast"/>
              <w:ind w:firstLine="201" w:firstLineChars="72"/>
              <w:rPr>
                <w:rFonts w:ascii="Times New Roman" w:hAnsi="Times New Roman"/>
                <w:sz w:val="28"/>
                <w:szCs w:val="28"/>
              </w:rPr>
            </w:pPr>
            <w:r>
              <w:rPr>
                <w:rFonts w:ascii="Times New Roman" w:hAnsi="Times New Roman"/>
                <w:sz w:val="28"/>
                <w:szCs w:val="28"/>
              </w:rPr>
              <w:t>831-52-7</w:t>
            </w:r>
          </w:p>
        </w:tc>
        <w:tc>
          <w:tcPr>
            <w:tcW w:w="298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爆炸物，1.3项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9.3</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高锰酸钾</w:t>
            </w:r>
          </w:p>
        </w:tc>
        <w:tc>
          <w:tcPr>
            <w:tcW w:w="1565"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过锰酸钾；灰锰氧</w:t>
            </w:r>
          </w:p>
        </w:tc>
        <w:tc>
          <w:tcPr>
            <w:tcW w:w="1833"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7722-64-7</w:t>
            </w:r>
          </w:p>
        </w:tc>
        <w:tc>
          <w:tcPr>
            <w:tcW w:w="2987"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9.4</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高锰酸钠</w:t>
            </w:r>
          </w:p>
        </w:tc>
        <w:tc>
          <w:tcPr>
            <w:tcW w:w="1565"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过锰酸钠</w:t>
            </w:r>
          </w:p>
        </w:tc>
        <w:tc>
          <w:tcPr>
            <w:tcW w:w="1833"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10101-50-5</w:t>
            </w:r>
          </w:p>
        </w:tc>
        <w:tc>
          <w:tcPr>
            <w:tcW w:w="2987"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9.5</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硝酸胍</w:t>
            </w:r>
          </w:p>
        </w:tc>
        <w:tc>
          <w:tcPr>
            <w:tcW w:w="1565" w:type="dxa"/>
            <w:gridSpan w:val="2"/>
            <w:noWrap w:val="0"/>
            <w:vAlign w:val="center"/>
          </w:tcPr>
          <w:p>
            <w:pPr>
              <w:widowControl/>
              <w:spacing w:line="0" w:lineRule="atLeast"/>
              <w:ind w:firstLine="0" w:firstLineChars="0"/>
              <w:jc w:val="center"/>
              <w:rPr>
                <w:rFonts w:ascii="Times New Roman" w:hAnsi="Times New Roman"/>
                <w:spacing w:val="-10"/>
                <w:sz w:val="28"/>
                <w:szCs w:val="28"/>
              </w:rPr>
            </w:pPr>
            <w:r>
              <w:rPr>
                <w:rFonts w:ascii="Times New Roman" w:hAnsi="Times New Roman"/>
                <w:spacing w:val="-10"/>
                <w:sz w:val="28"/>
                <w:szCs w:val="28"/>
              </w:rPr>
              <w:t>硝酸亚氨脲</w:t>
            </w:r>
          </w:p>
        </w:tc>
        <w:tc>
          <w:tcPr>
            <w:tcW w:w="1833"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506-93-4</w:t>
            </w:r>
          </w:p>
        </w:tc>
        <w:tc>
          <w:tcPr>
            <w:tcW w:w="2987"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氧化性固体，类别3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9.6</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水合肼</w:t>
            </w:r>
          </w:p>
        </w:tc>
        <w:tc>
          <w:tcPr>
            <w:tcW w:w="1565" w:type="dxa"/>
            <w:gridSpan w:val="2"/>
            <w:noWrap w:val="0"/>
            <w:vAlign w:val="center"/>
          </w:tcPr>
          <w:p>
            <w:pPr>
              <w:widowControl/>
              <w:spacing w:line="340" w:lineRule="exact"/>
              <w:ind w:firstLine="0" w:firstLineChars="0"/>
              <w:jc w:val="center"/>
              <w:rPr>
                <w:rFonts w:ascii="Times New Roman" w:hAnsi="Times New Roman"/>
                <w:sz w:val="28"/>
                <w:szCs w:val="28"/>
              </w:rPr>
            </w:pPr>
            <w:r>
              <w:rPr>
                <w:rFonts w:ascii="Times New Roman" w:hAnsi="Times New Roman"/>
                <w:sz w:val="28"/>
                <w:szCs w:val="28"/>
              </w:rPr>
              <w:t>水合联氨</w:t>
            </w:r>
          </w:p>
        </w:tc>
        <w:tc>
          <w:tcPr>
            <w:tcW w:w="1833"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10217-52-4</w:t>
            </w:r>
          </w:p>
        </w:tc>
        <w:tc>
          <w:tcPr>
            <w:tcW w:w="2987" w:type="dxa"/>
            <w:noWrap w:val="0"/>
            <w:vAlign w:val="center"/>
          </w:tcPr>
          <w:p>
            <w:pPr>
              <w:widowControl/>
              <w:spacing w:line="0" w:lineRule="atLeast"/>
              <w:ind w:firstLine="0" w:firstLineChars="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907" w:type="dxa"/>
            <w:noWrap w:val="0"/>
            <w:vAlign w:val="center"/>
          </w:tcPr>
          <w:p>
            <w:pPr>
              <w:spacing w:line="0" w:lineRule="atLeast"/>
              <w:ind w:firstLine="0" w:firstLineChars="0"/>
              <w:jc w:val="center"/>
              <w:rPr>
                <w:rFonts w:ascii="Times New Roman" w:hAnsi="Times New Roman"/>
                <w:sz w:val="28"/>
                <w:szCs w:val="28"/>
              </w:rPr>
            </w:pPr>
            <w:r>
              <w:rPr>
                <w:rFonts w:ascii="Times New Roman" w:hAnsi="Times New Roman"/>
                <w:sz w:val="28"/>
                <w:szCs w:val="28"/>
              </w:rPr>
              <w:t>9.7</w:t>
            </w:r>
          </w:p>
        </w:tc>
        <w:tc>
          <w:tcPr>
            <w:tcW w:w="1605" w:type="dxa"/>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 xml:space="preserve">2，2-双（羟甲基）1，3-丙二醇 </w:t>
            </w:r>
          </w:p>
        </w:tc>
        <w:tc>
          <w:tcPr>
            <w:tcW w:w="1565" w:type="dxa"/>
            <w:gridSpan w:val="2"/>
            <w:noWrap w:val="0"/>
            <w:vAlign w:val="center"/>
          </w:tcPr>
          <w:p>
            <w:pPr>
              <w:widowControl/>
              <w:spacing w:line="340" w:lineRule="exact"/>
              <w:ind w:firstLine="0" w:firstLineChars="0"/>
              <w:jc w:val="center"/>
              <w:rPr>
                <w:rFonts w:ascii="Times New Roman" w:hAnsi="Times New Roman"/>
                <w:sz w:val="28"/>
                <w:szCs w:val="28"/>
              </w:rPr>
            </w:pPr>
            <w:r>
              <w:rPr>
                <w:rFonts w:ascii="Times New Roman" w:hAnsi="Times New Roman"/>
                <w:sz w:val="28"/>
                <w:szCs w:val="28"/>
              </w:rPr>
              <w:t>季戊四醇、四羟甲基甲烷</w:t>
            </w:r>
          </w:p>
        </w:tc>
        <w:tc>
          <w:tcPr>
            <w:tcW w:w="1833" w:type="dxa"/>
            <w:gridSpan w:val="2"/>
            <w:noWrap w:val="0"/>
            <w:vAlign w:val="center"/>
          </w:tcPr>
          <w:p>
            <w:pPr>
              <w:widowControl/>
              <w:spacing w:line="0" w:lineRule="atLeast"/>
              <w:ind w:firstLine="0" w:firstLineChars="0"/>
              <w:jc w:val="center"/>
              <w:rPr>
                <w:rFonts w:ascii="Times New Roman" w:hAnsi="Times New Roman"/>
                <w:sz w:val="28"/>
                <w:szCs w:val="28"/>
              </w:rPr>
            </w:pPr>
            <w:r>
              <w:rPr>
                <w:rFonts w:ascii="Times New Roman" w:hAnsi="Times New Roman"/>
                <w:sz w:val="28"/>
                <w:szCs w:val="28"/>
              </w:rPr>
              <w:t>115-77-5</w:t>
            </w:r>
          </w:p>
        </w:tc>
        <w:tc>
          <w:tcPr>
            <w:tcW w:w="2987" w:type="dxa"/>
            <w:noWrap w:val="0"/>
            <w:vAlign w:val="center"/>
          </w:tcPr>
          <w:p>
            <w:pPr>
              <w:widowControl/>
              <w:spacing w:line="0" w:lineRule="atLeast"/>
              <w:ind w:firstLine="0" w:firstLineChars="0"/>
              <w:jc w:val="center"/>
              <w:rPr>
                <w:rFonts w:ascii="Times New Roman" w:hAnsi="Times New Roman"/>
                <w:sz w:val="28"/>
                <w:szCs w:val="28"/>
              </w:rPr>
            </w:pPr>
          </w:p>
        </w:tc>
      </w:tr>
    </w:tbl>
    <w:p>
      <w:pPr>
        <w:spacing w:line="200" w:lineRule="exact"/>
        <w:ind w:firstLine="0" w:firstLineChars="0"/>
        <w:jc w:val="center"/>
        <w:rPr>
          <w:rFonts w:ascii="Times New Roman" w:hAnsi="Times New Roman"/>
          <w:color w:val="FF0000"/>
          <w:sz w:val="28"/>
          <w:szCs w:val="28"/>
        </w:rPr>
      </w:pPr>
    </w:p>
    <w:p>
      <w:pPr>
        <w:spacing w:line="560" w:lineRule="exact"/>
        <w:ind w:firstLine="0" w:firstLineChars="0"/>
        <w:rPr>
          <w:rFonts w:ascii="Times New Roman" w:hAnsi="Times New Roman"/>
          <w:sz w:val="24"/>
          <w:szCs w:val="24"/>
        </w:rPr>
      </w:pPr>
      <w:r>
        <w:rPr>
          <w:rFonts w:ascii="Times New Roman" w:hAnsi="Times New Roman" w:eastAsia="黑体"/>
          <w:sz w:val="24"/>
          <w:szCs w:val="24"/>
        </w:rPr>
        <w:t>注：</w:t>
      </w:r>
      <w:r>
        <w:rPr>
          <w:rFonts w:ascii="Times New Roman" w:hAnsi="Times New Roman"/>
          <w:sz w:val="24"/>
          <w:szCs w:val="24"/>
        </w:rPr>
        <w:t xml:space="preserve"> 1、各栏目的含义：</w:t>
      </w:r>
    </w:p>
    <w:p>
      <w:pPr>
        <w:spacing w:line="560" w:lineRule="exact"/>
        <w:ind w:firstLine="720" w:firstLineChars="300"/>
        <w:rPr>
          <w:rFonts w:ascii="Times New Roman" w:hAnsi="Times New Roman"/>
          <w:sz w:val="24"/>
          <w:szCs w:val="24"/>
        </w:rPr>
      </w:pPr>
      <w:r>
        <w:rPr>
          <w:rFonts w:ascii="Times New Roman" w:hAnsi="Times New Roman"/>
          <w:sz w:val="24"/>
          <w:szCs w:val="24"/>
        </w:rPr>
        <w:t>“序号”：《易制爆危险化学品名录》（2017年版）中化学品的顺序号。</w:t>
      </w:r>
    </w:p>
    <w:p>
      <w:pPr>
        <w:spacing w:line="560" w:lineRule="exact"/>
        <w:ind w:firstLine="480"/>
        <w:rPr>
          <w:rFonts w:ascii="Times New Roman" w:hAnsi="Times New Roman"/>
          <w:sz w:val="24"/>
          <w:szCs w:val="24"/>
        </w:rPr>
      </w:pPr>
      <w:r>
        <w:rPr>
          <w:rFonts w:ascii="Times New Roman" w:hAnsi="Times New Roman"/>
          <w:sz w:val="24"/>
          <w:szCs w:val="24"/>
        </w:rPr>
        <w:t xml:space="preserve">  “品名”：根据《化学命名原则》（1980）确定的名称。</w:t>
      </w:r>
    </w:p>
    <w:p>
      <w:pPr>
        <w:spacing w:line="560" w:lineRule="exact"/>
        <w:ind w:firstLine="480"/>
        <w:rPr>
          <w:rFonts w:ascii="Times New Roman" w:hAnsi="Times New Roman"/>
          <w:sz w:val="24"/>
          <w:szCs w:val="24"/>
        </w:rPr>
      </w:pPr>
      <w:r>
        <w:rPr>
          <w:rFonts w:ascii="Times New Roman" w:hAnsi="Times New Roman"/>
          <w:sz w:val="24"/>
          <w:szCs w:val="24"/>
        </w:rPr>
        <w:t xml:space="preserve">  “别名”：除“品名”以外的其他名称，包括通用名、俗名等。</w:t>
      </w:r>
    </w:p>
    <w:p>
      <w:pPr>
        <w:spacing w:line="560" w:lineRule="exact"/>
        <w:ind w:firstLine="576" w:firstLineChars="240"/>
        <w:rPr>
          <w:rFonts w:ascii="Times New Roman" w:hAnsi="Times New Roman"/>
          <w:sz w:val="24"/>
          <w:szCs w:val="24"/>
        </w:rPr>
      </w:pPr>
      <w:r>
        <w:rPr>
          <w:rFonts w:ascii="Times New Roman" w:hAnsi="Times New Roman"/>
          <w:sz w:val="24"/>
          <w:szCs w:val="24"/>
        </w:rPr>
        <w:t xml:space="preserve"> “CAS号”：Chemical Abstract Service的缩写，是美国化学文摘社对化学品的唯一登记号，是检索化学物质有关信息资料最常用的编号。</w:t>
      </w:r>
    </w:p>
    <w:p>
      <w:pPr>
        <w:spacing w:line="560" w:lineRule="exact"/>
        <w:ind w:firstLine="576" w:firstLineChars="240"/>
        <w:rPr>
          <w:rFonts w:ascii="Times New Roman" w:hAnsi="Times New Roman"/>
          <w:sz w:val="24"/>
          <w:szCs w:val="24"/>
        </w:rPr>
      </w:pPr>
      <w:r>
        <w:rPr>
          <w:rFonts w:ascii="Times New Roman" w:hAnsi="Times New Roman"/>
          <w:sz w:val="24"/>
          <w:szCs w:val="24"/>
        </w:rPr>
        <w:t xml:space="preserve"> “主要的燃爆危险性分类”：根据《化学品分类和标签规范》系列标准（GB30000.2-2013~GB30000.29.2013）等国家标准，对某种化学品燃烧爆炸危险性进行的分类。</w:t>
      </w:r>
    </w:p>
    <w:p>
      <w:pPr>
        <w:spacing w:line="560" w:lineRule="exact"/>
        <w:ind w:firstLine="676" w:firstLineChars="282"/>
        <w:contextualSpacing/>
        <w:rPr>
          <w:rFonts w:ascii="Times New Roman" w:hAnsi="Times New Roman"/>
          <w:sz w:val="24"/>
          <w:szCs w:val="24"/>
        </w:rPr>
      </w:pPr>
      <w:r>
        <w:rPr>
          <w:rFonts w:ascii="Times New Roman" w:hAnsi="Times New Roman"/>
          <w:sz w:val="24"/>
          <w:szCs w:val="24"/>
        </w:rPr>
        <w:t>2、除列明的条目外，无机盐类同时包括无水和含有结晶水的化合物。</w:t>
      </w:r>
    </w:p>
    <w:p>
      <w:pPr>
        <w:spacing w:line="560" w:lineRule="exact"/>
        <w:ind w:firstLine="676" w:firstLineChars="282"/>
        <w:contextualSpacing/>
        <w:rPr>
          <w:rFonts w:ascii="Times New Roman" w:hAnsi="Times New Roman"/>
          <w:sz w:val="24"/>
          <w:szCs w:val="24"/>
        </w:rPr>
      </w:pPr>
      <w:r>
        <w:rPr>
          <w:rFonts w:ascii="Times New Roman" w:hAnsi="Times New Roman"/>
          <w:sz w:val="24"/>
          <w:szCs w:val="24"/>
        </w:rPr>
        <w:t>3、混合物之外无含量说明的条目，是指该条目的工业产品或者纯度高于工业产品的化学品。</w:t>
      </w:r>
    </w:p>
    <w:p>
      <w:pPr>
        <w:spacing w:line="560" w:lineRule="exact"/>
        <w:ind w:firstLine="676" w:firstLineChars="282"/>
        <w:contextualSpacing/>
        <w:rPr>
          <w:rFonts w:ascii="Times New Roman" w:hAnsi="Times New Roman"/>
          <w:color w:val="FF0000"/>
          <w:sz w:val="28"/>
          <w:szCs w:val="28"/>
        </w:rPr>
      </w:pPr>
      <w:r>
        <w:rPr>
          <w:rFonts w:ascii="Times New Roman" w:hAnsi="Times New Roman"/>
          <w:sz w:val="24"/>
          <w:szCs w:val="24"/>
        </w:rPr>
        <w:t>4、标记“*”的类别，是指在有充分依据的条件下，该化学品可以采用更严格的类别。</w:t>
      </w:r>
    </w:p>
    <w:p>
      <w:pPr>
        <w:jc w:val="center"/>
        <w:rPr>
          <w:rFonts w:hint="eastAsia" w:ascii="华文中宋" w:hAnsi="华文中宋" w:eastAsia="华文中宋"/>
          <w:b/>
          <w:sz w:val="84"/>
          <w:szCs w:val="84"/>
        </w:rPr>
      </w:pPr>
    </w:p>
    <w:p>
      <w:pPr>
        <w:pStyle w:val="4"/>
        <w:bidi w:val="0"/>
        <w:rPr>
          <w:rFonts w:hint="eastAsia"/>
        </w:rPr>
      </w:pPr>
      <w:r>
        <w:rPr>
          <w:rFonts w:hint="eastAsia"/>
        </w:rPr>
        <w:t>危险化学品目录（2018版）</w:t>
      </w:r>
    </w:p>
    <w:p>
      <w:pPr>
        <w:spacing w:line="320" w:lineRule="exact"/>
        <w:ind w:firstLine="420" w:firstLineChars="200"/>
        <w:jc w:val="left"/>
        <w:rPr>
          <w:rFonts w:hint="default" w:ascii="华文中宋" w:hAnsi="华文中宋" w:eastAsiaTheme="minorEastAsia"/>
          <w:b/>
          <w:sz w:val="44"/>
          <w:szCs w:val="44"/>
          <w:lang w:val="en-US" w:eastAsia="zh-CN"/>
        </w:rPr>
      </w:pPr>
      <w:r>
        <w:rPr>
          <w:rFonts w:hint="eastAsia"/>
        </w:rPr>
        <w:t>危险化学品目录</w:t>
      </w:r>
      <w:r>
        <w:rPr>
          <w:rFonts w:hint="eastAsia"/>
          <w:lang w:eastAsia="zh-CN"/>
        </w:rPr>
        <w:t>很长，大约</w:t>
      </w:r>
      <w:r>
        <w:rPr>
          <w:rFonts w:hint="eastAsia"/>
          <w:lang w:val="en-US" w:eastAsia="zh-CN"/>
        </w:rPr>
        <w:t>114页，此处不附。使用的药品是否属于危险化学品，请网上自查。如果是，请按照危化品要求购买、使用、存放、废弃管理。</w:t>
      </w:r>
    </w:p>
    <w:p>
      <w:pPr>
        <w:spacing w:line="540" w:lineRule="exact"/>
        <w:ind w:firstLine="415" w:firstLineChars="198"/>
        <w:outlineLvl w:val="0"/>
        <w:rPr>
          <w:rFonts w:ascii="黑体" w:hAnsi="黑体" w:eastAsia="黑体"/>
          <w:szCs w:val="32"/>
        </w:rPr>
      </w:pPr>
      <w:r>
        <w:rPr>
          <w:rFonts w:hint="eastAsia" w:ascii="黑体" w:hAnsi="黑体" w:eastAsia="黑体"/>
          <w:szCs w:val="32"/>
        </w:rPr>
        <w:t>一、危险化学品的定义和确定原则</w:t>
      </w:r>
    </w:p>
    <w:p>
      <w:pPr>
        <w:widowControl/>
        <w:spacing w:line="540" w:lineRule="exact"/>
        <w:ind w:firstLine="640"/>
        <w:jc w:val="left"/>
        <w:rPr>
          <w:rFonts w:ascii="仿宋" w:hAnsi="仿宋" w:eastAsia="仿宋"/>
          <w:bCs/>
          <w:szCs w:val="32"/>
        </w:rPr>
      </w:pPr>
      <w:r>
        <w:rPr>
          <w:rFonts w:hint="eastAsia" w:ascii="仿宋" w:hAnsi="仿宋" w:eastAsia="仿宋"/>
          <w:bCs/>
          <w:szCs w:val="32"/>
        </w:rPr>
        <w:t>定义：具有毒害、腐蚀、爆炸、燃烧、助燃等性质，对人体、设施、环境具有危害的剧毒化学品和其他化学品。</w:t>
      </w:r>
    </w:p>
    <w:p>
      <w:pPr>
        <w:spacing w:line="540" w:lineRule="exact"/>
        <w:ind w:firstLine="420" w:firstLineChars="200"/>
        <w:rPr>
          <w:rFonts w:ascii="仿宋" w:hAnsi="仿宋" w:eastAsia="仿宋"/>
          <w:bCs/>
          <w:szCs w:val="32"/>
        </w:rPr>
      </w:pPr>
      <w:r>
        <w:rPr>
          <w:rFonts w:hint="eastAsia" w:ascii="仿宋" w:hAnsi="仿宋" w:eastAsia="仿宋"/>
          <w:bCs/>
          <w:szCs w:val="32"/>
        </w:rPr>
        <w:t>确定原则：</w:t>
      </w:r>
      <w:r>
        <w:rPr>
          <w:rFonts w:hint="eastAsia" w:ascii="仿宋" w:hAnsi="仿宋" w:eastAsia="仿宋"/>
          <w:szCs w:val="32"/>
        </w:rPr>
        <w:t>危险化学品的品种依据</w:t>
      </w:r>
      <w:r>
        <w:rPr>
          <w:rFonts w:hint="eastAsia" w:ascii="仿宋" w:hAnsi="仿宋" w:eastAsia="仿宋"/>
          <w:bCs/>
          <w:szCs w:val="32"/>
        </w:rPr>
        <w:t>化学品分类和标签国家标准，</w:t>
      </w:r>
      <w:r>
        <w:rPr>
          <w:rFonts w:hint="eastAsia" w:ascii="仿宋" w:hAnsi="仿宋" w:eastAsia="仿宋"/>
          <w:szCs w:val="32"/>
        </w:rPr>
        <w:t>从下列</w:t>
      </w:r>
      <w:r>
        <w:rPr>
          <w:rFonts w:hint="eastAsia" w:ascii="仿宋" w:hAnsi="仿宋" w:eastAsia="仿宋"/>
          <w:bCs/>
          <w:szCs w:val="32"/>
        </w:rPr>
        <w:t>危险和危害特性</w:t>
      </w:r>
      <w:r>
        <w:rPr>
          <w:rFonts w:hint="eastAsia" w:ascii="仿宋" w:hAnsi="仿宋" w:eastAsia="仿宋"/>
          <w:szCs w:val="32"/>
        </w:rPr>
        <w:t>类别中确定：</w:t>
      </w:r>
    </w:p>
    <w:p>
      <w:pPr>
        <w:widowControl/>
        <w:spacing w:line="540" w:lineRule="exact"/>
        <w:ind w:firstLine="640"/>
        <w:jc w:val="left"/>
        <w:rPr>
          <w:rFonts w:ascii="仿宋" w:hAnsi="仿宋" w:eastAsia="仿宋" w:cs="宋体"/>
          <w:bCs/>
          <w:kern w:val="0"/>
          <w:szCs w:val="32"/>
        </w:rPr>
      </w:pPr>
      <w:r>
        <w:rPr>
          <w:rFonts w:ascii="仿宋" w:hAnsi="仿宋" w:eastAsia="仿宋" w:cs="宋体"/>
          <w:bCs/>
          <w:kern w:val="0"/>
          <w:szCs w:val="32"/>
        </w:rPr>
        <w:t>1</w:t>
      </w:r>
      <w:r>
        <w:rPr>
          <w:rFonts w:hint="eastAsia" w:ascii="仿宋" w:hAnsi="仿宋" w:eastAsia="仿宋" w:cs="宋体"/>
          <w:bCs/>
          <w:kern w:val="0"/>
          <w:szCs w:val="32"/>
        </w:rPr>
        <w:t>．物理危险</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爆炸物：不稳定爆炸物、</w:t>
      </w:r>
      <w:r>
        <w:rPr>
          <w:rFonts w:ascii="仿宋" w:hAnsi="仿宋" w:eastAsia="仿宋" w:cs="宋体"/>
          <w:bCs/>
          <w:kern w:val="0"/>
          <w:szCs w:val="32"/>
        </w:rPr>
        <w:t>1.1</w:t>
      </w:r>
      <w:r>
        <w:rPr>
          <w:rFonts w:hint="eastAsia" w:ascii="仿宋" w:hAnsi="仿宋" w:eastAsia="仿宋" w:cs="宋体"/>
          <w:bCs/>
          <w:kern w:val="0"/>
          <w:szCs w:val="32"/>
        </w:rPr>
        <w:t>、</w:t>
      </w:r>
      <w:r>
        <w:rPr>
          <w:rFonts w:ascii="仿宋" w:hAnsi="仿宋" w:eastAsia="仿宋" w:cs="宋体"/>
          <w:bCs/>
          <w:kern w:val="0"/>
          <w:szCs w:val="32"/>
        </w:rPr>
        <w:t>1.2</w:t>
      </w:r>
      <w:r>
        <w:rPr>
          <w:rFonts w:hint="eastAsia" w:ascii="仿宋" w:hAnsi="仿宋" w:eastAsia="仿宋" w:cs="宋体"/>
          <w:bCs/>
          <w:kern w:val="0"/>
          <w:szCs w:val="32"/>
        </w:rPr>
        <w:t>、</w:t>
      </w:r>
      <w:r>
        <w:rPr>
          <w:rFonts w:ascii="仿宋" w:hAnsi="仿宋" w:eastAsia="仿宋" w:cs="宋体"/>
          <w:bCs/>
          <w:kern w:val="0"/>
          <w:szCs w:val="32"/>
        </w:rPr>
        <w:t>1.3</w:t>
      </w:r>
      <w:r>
        <w:rPr>
          <w:rFonts w:hint="eastAsia" w:ascii="仿宋" w:hAnsi="仿宋" w:eastAsia="仿宋" w:cs="宋体"/>
          <w:bCs/>
          <w:kern w:val="0"/>
          <w:szCs w:val="32"/>
        </w:rPr>
        <w:t>、</w:t>
      </w:r>
      <w:r>
        <w:rPr>
          <w:rFonts w:ascii="仿宋" w:hAnsi="仿宋" w:eastAsia="仿宋" w:cs="宋体"/>
          <w:bCs/>
          <w:kern w:val="0"/>
          <w:szCs w:val="32"/>
        </w:rPr>
        <w:t>1.4</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易燃气体：类别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、化学不稳定性气体类别</w:t>
      </w:r>
      <w:r>
        <w:rPr>
          <w:rFonts w:ascii="仿宋" w:hAnsi="仿宋" w:eastAsia="仿宋" w:cs="宋体"/>
          <w:bCs/>
          <w:kern w:val="0"/>
          <w:szCs w:val="32"/>
        </w:rPr>
        <w:t>A</w:t>
      </w:r>
      <w:r>
        <w:rPr>
          <w:rFonts w:hint="eastAsia" w:ascii="仿宋" w:hAnsi="仿宋" w:eastAsia="仿宋" w:cs="宋体"/>
          <w:bCs/>
          <w:kern w:val="0"/>
          <w:szCs w:val="32"/>
        </w:rPr>
        <w:t>、化学不稳定性气体类别</w:t>
      </w:r>
      <w:r>
        <w:rPr>
          <w:rFonts w:ascii="仿宋" w:hAnsi="仿宋" w:eastAsia="仿宋" w:cs="宋体"/>
          <w:bCs/>
          <w:kern w:val="0"/>
          <w:szCs w:val="32"/>
        </w:rPr>
        <w:t>B</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气溶胶</w:t>
      </w:r>
      <w:r>
        <w:rPr>
          <w:rFonts w:hint="eastAsia" w:ascii="仿宋" w:hAnsi="仿宋" w:eastAsia="仿宋"/>
          <w:szCs w:val="32"/>
        </w:rPr>
        <w:t>（又称气雾剂）</w:t>
      </w:r>
      <w:r>
        <w:rPr>
          <w:rFonts w:hint="eastAsia" w:ascii="仿宋" w:hAnsi="仿宋" w:eastAsia="仿宋" w:cs="宋体"/>
          <w:bCs/>
          <w:kern w:val="0"/>
          <w:szCs w:val="32"/>
        </w:rPr>
        <w:t>：类别</w:t>
      </w:r>
      <w:r>
        <w:rPr>
          <w:rFonts w:ascii="仿宋" w:hAnsi="仿宋" w:eastAsia="仿宋" w:cs="宋体"/>
          <w:bCs/>
          <w:kern w:val="0"/>
          <w:szCs w:val="32"/>
        </w:rPr>
        <w:t>1</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氧化性气体：类别</w:t>
      </w:r>
      <w:r>
        <w:rPr>
          <w:rFonts w:ascii="仿宋" w:hAnsi="仿宋" w:eastAsia="仿宋" w:cs="宋体"/>
          <w:bCs/>
          <w:kern w:val="0"/>
          <w:szCs w:val="32"/>
        </w:rPr>
        <w:t>1</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加压气体：压缩气体、液化气体、冷冻液化气体、溶解气体。</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易燃液体：类别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、类别</w:t>
      </w:r>
      <w:r>
        <w:rPr>
          <w:rFonts w:ascii="仿宋" w:hAnsi="仿宋" w:eastAsia="仿宋" w:cs="宋体"/>
          <w:bCs/>
          <w:kern w:val="0"/>
          <w:szCs w:val="32"/>
        </w:rPr>
        <w:t>3</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易燃固体：类别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自反应物质和混合物：</w:t>
      </w:r>
      <w:r>
        <w:rPr>
          <w:rFonts w:ascii="仿宋" w:hAnsi="仿宋" w:eastAsia="仿宋" w:cs="宋体"/>
          <w:bCs/>
          <w:kern w:val="0"/>
          <w:szCs w:val="32"/>
        </w:rPr>
        <w:t>A</w:t>
      </w:r>
      <w:r>
        <w:rPr>
          <w:rFonts w:hint="eastAsia" w:ascii="仿宋" w:hAnsi="仿宋" w:eastAsia="仿宋" w:cs="宋体"/>
          <w:bCs/>
          <w:kern w:val="0"/>
          <w:szCs w:val="32"/>
        </w:rPr>
        <w:t>型、</w:t>
      </w:r>
      <w:r>
        <w:rPr>
          <w:rFonts w:ascii="仿宋" w:hAnsi="仿宋" w:eastAsia="仿宋" w:cs="宋体"/>
          <w:bCs/>
          <w:kern w:val="0"/>
          <w:szCs w:val="32"/>
        </w:rPr>
        <w:t>B</w:t>
      </w:r>
      <w:r>
        <w:rPr>
          <w:rFonts w:hint="eastAsia" w:ascii="仿宋" w:hAnsi="仿宋" w:eastAsia="仿宋" w:cs="宋体"/>
          <w:bCs/>
          <w:kern w:val="0"/>
          <w:szCs w:val="32"/>
        </w:rPr>
        <w:t>型、</w:t>
      </w:r>
      <w:r>
        <w:rPr>
          <w:rFonts w:ascii="仿宋" w:hAnsi="仿宋" w:eastAsia="仿宋" w:cs="宋体"/>
          <w:bCs/>
          <w:kern w:val="0"/>
          <w:szCs w:val="32"/>
        </w:rPr>
        <w:t>C</w:t>
      </w:r>
      <w:r>
        <w:rPr>
          <w:rFonts w:hint="eastAsia" w:ascii="仿宋" w:hAnsi="仿宋" w:eastAsia="仿宋" w:cs="宋体"/>
          <w:bCs/>
          <w:kern w:val="0"/>
          <w:szCs w:val="32"/>
        </w:rPr>
        <w:t>型、</w:t>
      </w:r>
      <w:r>
        <w:rPr>
          <w:rFonts w:ascii="仿宋" w:hAnsi="仿宋" w:eastAsia="仿宋" w:cs="宋体"/>
          <w:bCs/>
          <w:kern w:val="0"/>
          <w:szCs w:val="32"/>
        </w:rPr>
        <w:t>D</w:t>
      </w:r>
      <w:r>
        <w:rPr>
          <w:rFonts w:hint="eastAsia" w:ascii="仿宋" w:hAnsi="仿宋" w:eastAsia="仿宋" w:cs="宋体"/>
          <w:bCs/>
          <w:kern w:val="0"/>
          <w:szCs w:val="32"/>
        </w:rPr>
        <w:t>型、</w:t>
      </w:r>
      <w:r>
        <w:rPr>
          <w:rFonts w:ascii="仿宋" w:hAnsi="仿宋" w:eastAsia="仿宋" w:cs="宋体"/>
          <w:bCs/>
          <w:kern w:val="0"/>
          <w:szCs w:val="32"/>
        </w:rPr>
        <w:t>E</w:t>
      </w:r>
      <w:r>
        <w:rPr>
          <w:rFonts w:hint="eastAsia" w:ascii="仿宋" w:hAnsi="仿宋" w:eastAsia="仿宋" w:cs="宋体"/>
          <w:bCs/>
          <w:kern w:val="0"/>
          <w:szCs w:val="32"/>
        </w:rPr>
        <w:t>型。</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自燃液体：类别</w:t>
      </w:r>
      <w:r>
        <w:rPr>
          <w:rFonts w:ascii="仿宋" w:hAnsi="仿宋" w:eastAsia="仿宋" w:cs="宋体"/>
          <w:bCs/>
          <w:kern w:val="0"/>
          <w:szCs w:val="32"/>
        </w:rPr>
        <w:t>1</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自燃固体：类别</w:t>
      </w:r>
      <w:r>
        <w:rPr>
          <w:rFonts w:ascii="仿宋" w:hAnsi="仿宋" w:eastAsia="仿宋" w:cs="宋体"/>
          <w:bCs/>
          <w:kern w:val="0"/>
          <w:szCs w:val="32"/>
        </w:rPr>
        <w:t>1</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自热物质和混合物：类别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遇水放出易燃气体的物质和混合物：类别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、类别</w:t>
      </w:r>
      <w:r>
        <w:rPr>
          <w:rFonts w:ascii="仿宋" w:hAnsi="仿宋" w:eastAsia="仿宋" w:cs="宋体"/>
          <w:bCs/>
          <w:kern w:val="0"/>
          <w:szCs w:val="32"/>
        </w:rPr>
        <w:t>3</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氧化性液体：类别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、类别</w:t>
      </w:r>
      <w:r>
        <w:rPr>
          <w:rFonts w:ascii="仿宋" w:hAnsi="仿宋" w:eastAsia="仿宋" w:cs="宋体"/>
          <w:bCs/>
          <w:kern w:val="0"/>
          <w:szCs w:val="32"/>
        </w:rPr>
        <w:t>3</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氧化性固体：类别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、类别</w:t>
      </w:r>
      <w:r>
        <w:rPr>
          <w:rFonts w:ascii="仿宋" w:hAnsi="仿宋" w:eastAsia="仿宋" w:cs="宋体"/>
          <w:bCs/>
          <w:kern w:val="0"/>
          <w:szCs w:val="32"/>
        </w:rPr>
        <w:t>3</w:t>
      </w:r>
      <w:r>
        <w:rPr>
          <w:rFonts w:hint="eastAsia" w:ascii="仿宋" w:hAnsi="仿宋" w:eastAsia="仿宋" w:cs="宋体"/>
          <w:bCs/>
          <w:kern w:val="0"/>
          <w:szCs w:val="32"/>
        </w:rPr>
        <w:t>。</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有机过氧化物：</w:t>
      </w:r>
      <w:r>
        <w:rPr>
          <w:rFonts w:ascii="仿宋" w:hAnsi="仿宋" w:eastAsia="仿宋" w:cs="宋体"/>
          <w:bCs/>
          <w:kern w:val="0"/>
          <w:szCs w:val="32"/>
        </w:rPr>
        <w:t>A</w:t>
      </w:r>
      <w:r>
        <w:rPr>
          <w:rFonts w:hint="eastAsia" w:ascii="仿宋" w:hAnsi="仿宋" w:eastAsia="仿宋" w:cs="宋体"/>
          <w:bCs/>
          <w:kern w:val="0"/>
          <w:szCs w:val="32"/>
        </w:rPr>
        <w:t>型、</w:t>
      </w:r>
      <w:r>
        <w:rPr>
          <w:rFonts w:ascii="仿宋" w:hAnsi="仿宋" w:eastAsia="仿宋" w:cs="宋体"/>
          <w:bCs/>
          <w:kern w:val="0"/>
          <w:szCs w:val="32"/>
        </w:rPr>
        <w:t>B</w:t>
      </w:r>
      <w:r>
        <w:rPr>
          <w:rFonts w:hint="eastAsia" w:ascii="仿宋" w:hAnsi="仿宋" w:eastAsia="仿宋" w:cs="宋体"/>
          <w:bCs/>
          <w:kern w:val="0"/>
          <w:szCs w:val="32"/>
        </w:rPr>
        <w:t>型、</w:t>
      </w:r>
      <w:r>
        <w:rPr>
          <w:rFonts w:ascii="仿宋" w:hAnsi="仿宋" w:eastAsia="仿宋" w:cs="宋体"/>
          <w:bCs/>
          <w:kern w:val="0"/>
          <w:szCs w:val="32"/>
        </w:rPr>
        <w:t>C</w:t>
      </w:r>
      <w:r>
        <w:rPr>
          <w:rFonts w:hint="eastAsia" w:ascii="仿宋" w:hAnsi="仿宋" w:eastAsia="仿宋" w:cs="宋体"/>
          <w:bCs/>
          <w:kern w:val="0"/>
          <w:szCs w:val="32"/>
        </w:rPr>
        <w:t>型、</w:t>
      </w:r>
      <w:r>
        <w:rPr>
          <w:rFonts w:ascii="仿宋" w:hAnsi="仿宋" w:eastAsia="仿宋" w:cs="宋体"/>
          <w:bCs/>
          <w:kern w:val="0"/>
          <w:szCs w:val="32"/>
        </w:rPr>
        <w:t>D</w:t>
      </w:r>
      <w:r>
        <w:rPr>
          <w:rFonts w:hint="eastAsia" w:ascii="仿宋" w:hAnsi="仿宋" w:eastAsia="仿宋" w:cs="宋体"/>
          <w:bCs/>
          <w:kern w:val="0"/>
          <w:szCs w:val="32"/>
        </w:rPr>
        <w:t>型、</w:t>
      </w:r>
      <w:r>
        <w:rPr>
          <w:rFonts w:ascii="仿宋" w:hAnsi="仿宋" w:eastAsia="仿宋" w:cs="宋体"/>
          <w:bCs/>
          <w:kern w:val="0"/>
          <w:szCs w:val="32"/>
        </w:rPr>
        <w:t>E</w:t>
      </w:r>
      <w:r>
        <w:rPr>
          <w:rFonts w:hint="eastAsia" w:ascii="仿宋" w:hAnsi="仿宋" w:eastAsia="仿宋" w:cs="宋体"/>
          <w:bCs/>
          <w:kern w:val="0"/>
          <w:szCs w:val="32"/>
        </w:rPr>
        <w:t>型、</w:t>
      </w:r>
      <w:r>
        <w:rPr>
          <w:rFonts w:ascii="仿宋" w:hAnsi="仿宋" w:eastAsia="仿宋" w:cs="宋体"/>
          <w:bCs/>
          <w:kern w:val="0"/>
          <w:szCs w:val="32"/>
        </w:rPr>
        <w:t>F</w:t>
      </w:r>
      <w:r>
        <w:rPr>
          <w:rFonts w:hint="eastAsia" w:ascii="仿宋" w:hAnsi="仿宋" w:eastAsia="仿宋" w:cs="宋体"/>
          <w:bCs/>
          <w:kern w:val="0"/>
          <w:szCs w:val="32"/>
        </w:rPr>
        <w:t>型。</w:t>
      </w:r>
    </w:p>
    <w:p>
      <w:pPr>
        <w:widowControl/>
        <w:spacing w:line="540" w:lineRule="exact"/>
        <w:ind w:firstLine="640"/>
        <w:jc w:val="left"/>
        <w:rPr>
          <w:rFonts w:ascii="仿宋" w:hAnsi="仿宋" w:eastAsia="仿宋" w:cs="宋体"/>
          <w:bCs/>
          <w:kern w:val="0"/>
          <w:szCs w:val="32"/>
        </w:rPr>
      </w:pPr>
      <w:r>
        <w:rPr>
          <w:rFonts w:hint="eastAsia" w:ascii="仿宋" w:hAnsi="仿宋" w:eastAsia="仿宋" w:cs="宋体"/>
          <w:bCs/>
          <w:kern w:val="0"/>
          <w:szCs w:val="32"/>
        </w:rPr>
        <w:t>金属腐蚀物：类别</w:t>
      </w:r>
      <w:r>
        <w:rPr>
          <w:rFonts w:ascii="仿宋" w:hAnsi="仿宋" w:eastAsia="仿宋" w:cs="宋体"/>
          <w:bCs/>
          <w:kern w:val="0"/>
          <w:szCs w:val="32"/>
        </w:rPr>
        <w:t>1</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ascii="仿宋" w:hAnsi="仿宋" w:eastAsia="仿宋" w:cs="宋体"/>
          <w:bCs/>
          <w:kern w:val="0"/>
          <w:szCs w:val="32"/>
        </w:rPr>
        <w:t>2</w:t>
      </w:r>
      <w:r>
        <w:rPr>
          <w:rFonts w:hint="eastAsia" w:ascii="仿宋" w:hAnsi="仿宋" w:eastAsia="仿宋" w:cs="宋体"/>
          <w:bCs/>
          <w:kern w:val="0"/>
          <w:szCs w:val="32"/>
        </w:rPr>
        <w:t>．健康危害</w:t>
      </w:r>
      <w:r>
        <w:rPr>
          <w:rFonts w:ascii="仿宋" w:hAnsi="仿宋" w:eastAsia="仿宋" w:cs="宋体"/>
          <w:bCs/>
          <w:kern w:val="0"/>
          <w:szCs w:val="32"/>
        </w:rPr>
        <w:t xml:space="preserve"> </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急性毒性：类别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、类别</w:t>
      </w:r>
      <w:r>
        <w:rPr>
          <w:rFonts w:ascii="仿宋" w:hAnsi="仿宋" w:eastAsia="仿宋" w:cs="宋体"/>
          <w:bCs/>
          <w:kern w:val="0"/>
          <w:szCs w:val="32"/>
        </w:rPr>
        <w:t>3</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皮肤腐蚀</w:t>
      </w:r>
      <w:r>
        <w:rPr>
          <w:rFonts w:ascii="仿宋" w:hAnsi="仿宋" w:eastAsia="仿宋" w:cs="宋体"/>
          <w:bCs/>
          <w:kern w:val="0"/>
          <w:szCs w:val="32"/>
        </w:rPr>
        <w:t>/</w:t>
      </w:r>
      <w:r>
        <w:rPr>
          <w:rFonts w:hint="eastAsia" w:ascii="仿宋" w:hAnsi="仿宋" w:eastAsia="仿宋" w:cs="宋体"/>
          <w:bCs/>
          <w:kern w:val="0"/>
          <w:szCs w:val="32"/>
        </w:rPr>
        <w:t>刺激：类别</w:t>
      </w:r>
      <w:r>
        <w:rPr>
          <w:rFonts w:ascii="仿宋" w:hAnsi="仿宋" w:eastAsia="仿宋" w:cs="宋体"/>
          <w:bCs/>
          <w:kern w:val="0"/>
          <w:szCs w:val="32"/>
        </w:rPr>
        <w:t>1A</w:t>
      </w:r>
      <w:r>
        <w:rPr>
          <w:rFonts w:hint="eastAsia" w:ascii="仿宋" w:hAnsi="仿宋" w:eastAsia="仿宋" w:cs="宋体"/>
          <w:bCs/>
          <w:kern w:val="0"/>
          <w:szCs w:val="32"/>
        </w:rPr>
        <w:t>、类别</w:t>
      </w:r>
      <w:r>
        <w:rPr>
          <w:rFonts w:ascii="仿宋" w:hAnsi="仿宋" w:eastAsia="仿宋" w:cs="宋体"/>
          <w:bCs/>
          <w:kern w:val="0"/>
          <w:szCs w:val="32"/>
        </w:rPr>
        <w:t>1B</w:t>
      </w:r>
      <w:r>
        <w:rPr>
          <w:rFonts w:hint="eastAsia" w:ascii="仿宋" w:hAnsi="仿宋" w:eastAsia="仿宋" w:cs="宋体"/>
          <w:bCs/>
          <w:kern w:val="0"/>
          <w:szCs w:val="32"/>
        </w:rPr>
        <w:t>、类别</w:t>
      </w:r>
      <w:r>
        <w:rPr>
          <w:rFonts w:ascii="仿宋" w:hAnsi="仿宋" w:eastAsia="仿宋" w:cs="宋体"/>
          <w:bCs/>
          <w:kern w:val="0"/>
          <w:szCs w:val="32"/>
        </w:rPr>
        <w:t>1C</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严重眼损伤</w:t>
      </w:r>
      <w:r>
        <w:rPr>
          <w:rFonts w:ascii="仿宋" w:hAnsi="仿宋" w:eastAsia="仿宋" w:cs="宋体"/>
          <w:bCs/>
          <w:kern w:val="0"/>
          <w:szCs w:val="32"/>
        </w:rPr>
        <w:t>/</w:t>
      </w:r>
      <w:r>
        <w:rPr>
          <w:rFonts w:hint="eastAsia" w:ascii="仿宋" w:hAnsi="仿宋" w:eastAsia="仿宋" w:cs="宋体"/>
          <w:bCs/>
          <w:kern w:val="0"/>
          <w:szCs w:val="32"/>
        </w:rPr>
        <w:t>眼刺激：类别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2A</w:t>
      </w:r>
      <w:r>
        <w:rPr>
          <w:rFonts w:hint="eastAsia" w:ascii="仿宋" w:hAnsi="仿宋" w:eastAsia="仿宋" w:cs="宋体"/>
          <w:bCs/>
          <w:kern w:val="0"/>
          <w:szCs w:val="32"/>
        </w:rPr>
        <w:t>、类别</w:t>
      </w:r>
      <w:r>
        <w:rPr>
          <w:rFonts w:ascii="仿宋" w:hAnsi="仿宋" w:eastAsia="仿宋" w:cs="宋体"/>
          <w:bCs/>
          <w:kern w:val="0"/>
          <w:szCs w:val="32"/>
        </w:rPr>
        <w:t>2B</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呼吸道或皮肤致敏：呼吸道致敏物</w:t>
      </w:r>
      <w:r>
        <w:rPr>
          <w:rFonts w:ascii="仿宋" w:hAnsi="仿宋" w:eastAsia="仿宋" w:cs="宋体"/>
          <w:bCs/>
          <w:kern w:val="0"/>
          <w:szCs w:val="32"/>
        </w:rPr>
        <w:t>1A</w:t>
      </w:r>
      <w:r>
        <w:rPr>
          <w:rFonts w:hint="eastAsia" w:ascii="仿宋" w:hAnsi="仿宋" w:eastAsia="仿宋" w:cs="宋体"/>
          <w:bCs/>
          <w:kern w:val="0"/>
          <w:szCs w:val="32"/>
        </w:rPr>
        <w:t>、呼吸道致敏物</w:t>
      </w:r>
      <w:r>
        <w:rPr>
          <w:rFonts w:ascii="仿宋" w:hAnsi="仿宋" w:eastAsia="仿宋" w:cs="宋体"/>
          <w:bCs/>
          <w:kern w:val="0"/>
          <w:szCs w:val="32"/>
        </w:rPr>
        <w:t>1B</w:t>
      </w:r>
      <w:r>
        <w:rPr>
          <w:rFonts w:hint="eastAsia" w:ascii="仿宋" w:hAnsi="仿宋" w:eastAsia="仿宋" w:cs="宋体"/>
          <w:bCs/>
          <w:kern w:val="0"/>
          <w:szCs w:val="32"/>
        </w:rPr>
        <w:t>、皮肤致敏物</w:t>
      </w:r>
      <w:r>
        <w:rPr>
          <w:rFonts w:ascii="仿宋" w:hAnsi="仿宋" w:eastAsia="仿宋" w:cs="宋体"/>
          <w:bCs/>
          <w:kern w:val="0"/>
          <w:szCs w:val="32"/>
        </w:rPr>
        <w:t>1A</w:t>
      </w:r>
      <w:r>
        <w:rPr>
          <w:rFonts w:hint="eastAsia" w:ascii="仿宋" w:hAnsi="仿宋" w:eastAsia="仿宋" w:cs="宋体"/>
          <w:bCs/>
          <w:kern w:val="0"/>
          <w:szCs w:val="32"/>
        </w:rPr>
        <w:t>、皮肤致敏物</w:t>
      </w:r>
      <w:r>
        <w:rPr>
          <w:rFonts w:ascii="仿宋" w:hAnsi="仿宋" w:eastAsia="仿宋" w:cs="宋体"/>
          <w:bCs/>
          <w:kern w:val="0"/>
          <w:szCs w:val="32"/>
        </w:rPr>
        <w:t>1B</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生殖细胞致突变性：类别</w:t>
      </w:r>
      <w:r>
        <w:rPr>
          <w:rFonts w:ascii="仿宋" w:hAnsi="仿宋" w:eastAsia="仿宋" w:cs="宋体"/>
          <w:bCs/>
          <w:kern w:val="0"/>
          <w:szCs w:val="32"/>
        </w:rPr>
        <w:t>1A</w:t>
      </w:r>
      <w:r>
        <w:rPr>
          <w:rFonts w:hint="eastAsia" w:ascii="仿宋" w:hAnsi="仿宋" w:eastAsia="仿宋" w:cs="宋体"/>
          <w:bCs/>
          <w:kern w:val="0"/>
          <w:szCs w:val="32"/>
        </w:rPr>
        <w:t>、类别</w:t>
      </w:r>
      <w:r>
        <w:rPr>
          <w:rFonts w:ascii="仿宋" w:hAnsi="仿宋" w:eastAsia="仿宋" w:cs="宋体"/>
          <w:bCs/>
          <w:kern w:val="0"/>
          <w:szCs w:val="32"/>
        </w:rPr>
        <w:t>1B</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致癌性：类别</w:t>
      </w:r>
      <w:r>
        <w:rPr>
          <w:rFonts w:ascii="仿宋" w:hAnsi="仿宋" w:eastAsia="仿宋" w:cs="宋体"/>
          <w:bCs/>
          <w:kern w:val="0"/>
          <w:szCs w:val="32"/>
        </w:rPr>
        <w:t>1A</w:t>
      </w:r>
      <w:r>
        <w:rPr>
          <w:rFonts w:hint="eastAsia" w:ascii="仿宋" w:hAnsi="仿宋" w:eastAsia="仿宋" w:cs="宋体"/>
          <w:bCs/>
          <w:kern w:val="0"/>
          <w:szCs w:val="32"/>
        </w:rPr>
        <w:t>、类别</w:t>
      </w:r>
      <w:r>
        <w:rPr>
          <w:rFonts w:ascii="仿宋" w:hAnsi="仿宋" w:eastAsia="仿宋" w:cs="宋体"/>
          <w:bCs/>
          <w:kern w:val="0"/>
          <w:szCs w:val="32"/>
        </w:rPr>
        <w:t>1B</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生殖毒性：类别</w:t>
      </w:r>
      <w:r>
        <w:rPr>
          <w:rFonts w:ascii="仿宋" w:hAnsi="仿宋" w:eastAsia="仿宋" w:cs="宋体"/>
          <w:bCs/>
          <w:kern w:val="0"/>
          <w:szCs w:val="32"/>
        </w:rPr>
        <w:t>1A</w:t>
      </w:r>
      <w:r>
        <w:rPr>
          <w:rFonts w:hint="eastAsia" w:ascii="仿宋" w:hAnsi="仿宋" w:eastAsia="仿宋" w:cs="宋体"/>
          <w:bCs/>
          <w:kern w:val="0"/>
          <w:szCs w:val="32"/>
        </w:rPr>
        <w:t>、类别</w:t>
      </w:r>
      <w:r>
        <w:rPr>
          <w:rFonts w:ascii="仿宋" w:hAnsi="仿宋" w:eastAsia="仿宋" w:cs="宋体"/>
          <w:bCs/>
          <w:kern w:val="0"/>
          <w:szCs w:val="32"/>
        </w:rPr>
        <w:t>1B</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、附加类别。</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特异性靶器官毒性</w:t>
      </w:r>
      <w:r>
        <w:rPr>
          <w:rFonts w:ascii="仿宋" w:hAnsi="仿宋" w:eastAsia="仿宋" w:cs="宋体"/>
          <w:bCs/>
          <w:kern w:val="0"/>
          <w:szCs w:val="32"/>
        </w:rPr>
        <w:t>-</w:t>
      </w:r>
      <w:r>
        <w:rPr>
          <w:rFonts w:hint="eastAsia" w:ascii="仿宋" w:hAnsi="仿宋" w:eastAsia="仿宋" w:cs="宋体"/>
          <w:bCs/>
          <w:kern w:val="0"/>
          <w:szCs w:val="32"/>
        </w:rPr>
        <w:t>一次接触：类别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、类别</w:t>
      </w:r>
      <w:r>
        <w:rPr>
          <w:rFonts w:ascii="仿宋" w:hAnsi="仿宋" w:eastAsia="仿宋" w:cs="宋体"/>
          <w:bCs/>
          <w:kern w:val="0"/>
          <w:szCs w:val="32"/>
        </w:rPr>
        <w:t>3</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特异性靶器官毒性</w:t>
      </w:r>
      <w:r>
        <w:rPr>
          <w:rFonts w:ascii="仿宋" w:hAnsi="仿宋" w:eastAsia="仿宋" w:cs="宋体"/>
          <w:bCs/>
          <w:kern w:val="0"/>
          <w:szCs w:val="32"/>
        </w:rPr>
        <w:t>-</w:t>
      </w:r>
      <w:r>
        <w:rPr>
          <w:rFonts w:hint="eastAsia" w:ascii="仿宋" w:hAnsi="仿宋" w:eastAsia="仿宋" w:cs="宋体"/>
          <w:bCs/>
          <w:kern w:val="0"/>
          <w:szCs w:val="32"/>
        </w:rPr>
        <w:t>反复接触：类别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吸入危害：类别</w:t>
      </w:r>
      <w:r>
        <w:rPr>
          <w:rFonts w:ascii="仿宋" w:hAnsi="仿宋" w:eastAsia="仿宋" w:cs="宋体"/>
          <w:bCs/>
          <w:kern w:val="0"/>
          <w:szCs w:val="32"/>
        </w:rPr>
        <w:t>1</w:t>
      </w:r>
      <w:r>
        <w:rPr>
          <w:rFonts w:hint="eastAsia" w:ascii="仿宋" w:hAnsi="仿宋" w:eastAsia="仿宋" w:cs="宋体"/>
          <w:bCs/>
          <w:kern w:val="0"/>
          <w:szCs w:val="32"/>
        </w:rPr>
        <w:t>。</w:t>
      </w:r>
    </w:p>
    <w:p>
      <w:pPr>
        <w:widowControl/>
        <w:spacing w:line="560" w:lineRule="exact"/>
        <w:ind w:firstLine="641"/>
        <w:jc w:val="left"/>
        <w:rPr>
          <w:rFonts w:ascii="仿宋" w:hAnsi="仿宋" w:eastAsia="仿宋" w:cs="宋体"/>
          <w:bCs/>
          <w:kern w:val="0"/>
          <w:szCs w:val="32"/>
        </w:rPr>
      </w:pPr>
      <w:r>
        <w:rPr>
          <w:rFonts w:ascii="仿宋" w:hAnsi="仿宋" w:eastAsia="仿宋" w:cs="宋体"/>
          <w:bCs/>
          <w:kern w:val="0"/>
          <w:szCs w:val="32"/>
        </w:rPr>
        <w:t>3</w:t>
      </w:r>
      <w:r>
        <w:rPr>
          <w:rFonts w:hint="eastAsia" w:ascii="仿宋" w:hAnsi="仿宋" w:eastAsia="仿宋" w:cs="宋体"/>
          <w:bCs/>
          <w:kern w:val="0"/>
          <w:szCs w:val="32"/>
        </w:rPr>
        <w:t>．环境危害</w:t>
      </w:r>
    </w:p>
    <w:p>
      <w:pPr>
        <w:spacing w:line="560" w:lineRule="exact"/>
        <w:ind w:firstLine="420" w:firstLineChars="200"/>
        <w:rPr>
          <w:rFonts w:ascii="仿宋" w:hAnsi="仿宋" w:eastAsia="仿宋" w:cs="宋体"/>
          <w:bCs/>
          <w:kern w:val="0"/>
          <w:szCs w:val="32"/>
        </w:rPr>
      </w:pPr>
      <w:r>
        <w:rPr>
          <w:rFonts w:hint="eastAsia" w:ascii="仿宋" w:hAnsi="仿宋" w:eastAsia="仿宋" w:cs="宋体"/>
          <w:bCs/>
          <w:kern w:val="0"/>
          <w:szCs w:val="32"/>
        </w:rPr>
        <w:t>危害水生环境</w:t>
      </w:r>
      <w:r>
        <w:rPr>
          <w:rFonts w:ascii="仿宋" w:hAnsi="仿宋" w:eastAsia="仿宋" w:cs="宋体"/>
          <w:bCs/>
          <w:kern w:val="0"/>
          <w:szCs w:val="32"/>
        </w:rPr>
        <w:t>-</w:t>
      </w:r>
      <w:r>
        <w:rPr>
          <w:rFonts w:hint="eastAsia" w:ascii="仿宋" w:hAnsi="仿宋" w:eastAsia="仿宋" w:cs="宋体"/>
          <w:bCs/>
          <w:kern w:val="0"/>
          <w:szCs w:val="32"/>
        </w:rPr>
        <w:t>急性危害：类别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；危害水生环境</w:t>
      </w:r>
      <w:r>
        <w:rPr>
          <w:rFonts w:ascii="仿宋" w:hAnsi="仿宋" w:eastAsia="仿宋" w:cs="宋体"/>
          <w:bCs/>
          <w:kern w:val="0"/>
          <w:szCs w:val="32"/>
        </w:rPr>
        <w:t>-</w:t>
      </w:r>
      <w:r>
        <w:rPr>
          <w:rFonts w:hint="eastAsia" w:ascii="仿宋" w:hAnsi="仿宋" w:eastAsia="仿宋" w:cs="宋体"/>
          <w:bCs/>
          <w:kern w:val="0"/>
          <w:szCs w:val="32"/>
        </w:rPr>
        <w:t>长期危害：类别</w:t>
      </w:r>
      <w:r>
        <w:rPr>
          <w:rFonts w:ascii="仿宋" w:hAnsi="仿宋" w:eastAsia="仿宋" w:cs="宋体"/>
          <w:bCs/>
          <w:kern w:val="0"/>
          <w:szCs w:val="32"/>
        </w:rPr>
        <w:t>1</w:t>
      </w:r>
      <w:r>
        <w:rPr>
          <w:rFonts w:hint="eastAsia" w:ascii="仿宋" w:hAnsi="仿宋" w:eastAsia="仿宋" w:cs="宋体"/>
          <w:bCs/>
          <w:kern w:val="0"/>
          <w:szCs w:val="32"/>
        </w:rPr>
        <w:t>、类别</w:t>
      </w:r>
      <w:r>
        <w:rPr>
          <w:rFonts w:ascii="仿宋" w:hAnsi="仿宋" w:eastAsia="仿宋" w:cs="宋体"/>
          <w:bCs/>
          <w:kern w:val="0"/>
          <w:szCs w:val="32"/>
        </w:rPr>
        <w:t>2</w:t>
      </w:r>
      <w:r>
        <w:rPr>
          <w:rFonts w:hint="eastAsia" w:ascii="仿宋" w:hAnsi="仿宋" w:eastAsia="仿宋" w:cs="宋体"/>
          <w:bCs/>
          <w:kern w:val="0"/>
          <w:szCs w:val="32"/>
        </w:rPr>
        <w:t>、类别</w:t>
      </w:r>
      <w:r>
        <w:rPr>
          <w:rFonts w:ascii="仿宋" w:hAnsi="仿宋" w:eastAsia="仿宋" w:cs="宋体"/>
          <w:bCs/>
          <w:kern w:val="0"/>
          <w:szCs w:val="32"/>
        </w:rPr>
        <w:t>3</w:t>
      </w:r>
      <w:r>
        <w:rPr>
          <w:rFonts w:hint="eastAsia" w:ascii="仿宋" w:hAnsi="仿宋" w:eastAsia="仿宋" w:cs="宋体"/>
          <w:bCs/>
          <w:kern w:val="0"/>
          <w:szCs w:val="32"/>
        </w:rPr>
        <w:t>。</w:t>
      </w:r>
    </w:p>
    <w:p>
      <w:pPr>
        <w:spacing w:line="560" w:lineRule="exact"/>
        <w:ind w:firstLine="420" w:firstLineChars="200"/>
        <w:rPr>
          <w:rFonts w:ascii="仿宋" w:hAnsi="仿宋" w:eastAsia="仿宋" w:cs="宋体"/>
          <w:bCs/>
          <w:kern w:val="0"/>
          <w:szCs w:val="32"/>
        </w:rPr>
      </w:pPr>
      <w:r>
        <w:rPr>
          <w:rFonts w:hint="eastAsia" w:ascii="仿宋" w:hAnsi="仿宋" w:eastAsia="仿宋" w:cs="宋体"/>
          <w:bCs/>
          <w:kern w:val="0"/>
          <w:szCs w:val="32"/>
        </w:rPr>
        <w:t>危害臭氧层：类别</w:t>
      </w:r>
      <w:r>
        <w:rPr>
          <w:rFonts w:ascii="仿宋" w:hAnsi="仿宋" w:eastAsia="仿宋" w:cs="宋体"/>
          <w:bCs/>
          <w:kern w:val="0"/>
          <w:szCs w:val="32"/>
        </w:rPr>
        <w:t>1</w:t>
      </w:r>
      <w:r>
        <w:rPr>
          <w:rFonts w:hint="eastAsia" w:ascii="仿宋" w:hAnsi="仿宋" w:eastAsia="仿宋" w:cs="宋体"/>
          <w:bCs/>
          <w:kern w:val="0"/>
          <w:szCs w:val="32"/>
        </w:rPr>
        <w:t>。</w:t>
      </w:r>
    </w:p>
    <w:p>
      <w:pPr>
        <w:widowControl/>
        <w:spacing w:line="560" w:lineRule="exact"/>
        <w:ind w:firstLine="641"/>
        <w:jc w:val="left"/>
        <w:rPr>
          <w:rFonts w:ascii="黑体" w:hAnsi="黑体" w:eastAsia="黑体" w:cs="宋体"/>
          <w:kern w:val="0"/>
          <w:szCs w:val="32"/>
        </w:rPr>
      </w:pPr>
      <w:r>
        <w:rPr>
          <w:rFonts w:hint="eastAsia" w:ascii="黑体" w:hAnsi="黑体" w:eastAsia="黑体" w:cs="宋体"/>
          <w:kern w:val="0"/>
          <w:szCs w:val="32"/>
        </w:rPr>
        <w:t>二、剧毒化学品的定义和判定</w:t>
      </w:r>
      <w:r>
        <w:rPr>
          <w:rFonts w:hint="eastAsia" w:ascii="黑体" w:hAnsi="黑体" w:eastAsia="黑体"/>
          <w:bCs/>
          <w:szCs w:val="32"/>
        </w:rPr>
        <w:t>界限</w:t>
      </w:r>
    </w:p>
    <w:p>
      <w:pPr>
        <w:widowControl/>
        <w:spacing w:line="560" w:lineRule="exact"/>
        <w:ind w:firstLine="641"/>
        <w:jc w:val="left"/>
        <w:rPr>
          <w:rFonts w:ascii="仿宋" w:hAnsi="仿宋" w:eastAsia="仿宋" w:cs="宋体"/>
          <w:bCs/>
          <w:kern w:val="0"/>
          <w:szCs w:val="32"/>
        </w:rPr>
      </w:pPr>
      <w:r>
        <w:rPr>
          <w:rFonts w:hint="eastAsia" w:ascii="仿宋" w:hAnsi="仿宋" w:eastAsia="仿宋" w:cs="宋体"/>
          <w:bCs/>
          <w:kern w:val="0"/>
          <w:szCs w:val="32"/>
        </w:rPr>
        <w:t>定义：具有剧烈急性毒性危害的化学品，包括人工合成的化学品及其混合物和天然毒素，还包括具有急性毒性易造成公共安全危害的化学品。</w:t>
      </w:r>
    </w:p>
    <w:p>
      <w:pPr>
        <w:spacing w:line="560" w:lineRule="exact"/>
        <w:ind w:firstLine="420" w:firstLineChars="200"/>
        <w:rPr>
          <w:rFonts w:ascii="仿宋" w:hAnsi="仿宋" w:eastAsia="仿宋"/>
          <w:bCs/>
          <w:szCs w:val="32"/>
        </w:rPr>
      </w:pPr>
      <w:r>
        <w:rPr>
          <w:rFonts w:hint="eastAsia" w:ascii="仿宋" w:hAnsi="仿宋" w:eastAsia="仿宋" w:cs="宋体"/>
          <w:bCs/>
          <w:kern w:val="0"/>
          <w:szCs w:val="32"/>
        </w:rPr>
        <w:t>剧烈急性毒性</w:t>
      </w:r>
      <w:r>
        <w:rPr>
          <w:rFonts w:hint="eastAsia" w:ascii="仿宋" w:hAnsi="仿宋" w:eastAsia="仿宋"/>
          <w:bCs/>
          <w:szCs w:val="32"/>
        </w:rPr>
        <w:t>判定界限：</w:t>
      </w:r>
      <w:r>
        <w:rPr>
          <w:rFonts w:hint="eastAsia" w:ascii="仿宋" w:hAnsi="仿宋" w:eastAsia="仿宋" w:cs="宋体"/>
          <w:bCs/>
          <w:kern w:val="0"/>
          <w:szCs w:val="32"/>
        </w:rPr>
        <w:t>急性毒性类别</w:t>
      </w:r>
      <w:r>
        <w:rPr>
          <w:rFonts w:ascii="仿宋" w:hAnsi="仿宋" w:eastAsia="仿宋" w:cs="宋体"/>
          <w:bCs/>
          <w:kern w:val="0"/>
          <w:szCs w:val="32"/>
        </w:rPr>
        <w:t>1</w:t>
      </w:r>
      <w:r>
        <w:rPr>
          <w:rFonts w:hint="eastAsia" w:ascii="仿宋" w:hAnsi="仿宋" w:eastAsia="仿宋" w:cs="宋体"/>
          <w:bCs/>
          <w:kern w:val="0"/>
          <w:szCs w:val="32"/>
        </w:rPr>
        <w:t>，即满足下列条件之一：</w:t>
      </w:r>
      <w:r>
        <w:rPr>
          <w:rFonts w:hint="eastAsia" w:ascii="仿宋" w:hAnsi="仿宋" w:eastAsia="仿宋"/>
          <w:bCs/>
          <w:szCs w:val="32"/>
        </w:rPr>
        <w:t>大鼠实验，经口</w:t>
      </w:r>
      <w:r>
        <w:rPr>
          <w:rFonts w:ascii="仿宋" w:hAnsi="仿宋" w:eastAsia="仿宋"/>
          <w:bCs/>
          <w:szCs w:val="32"/>
        </w:rPr>
        <w:t>LD</w:t>
      </w:r>
      <w:r>
        <w:rPr>
          <w:rFonts w:ascii="仿宋" w:hAnsi="仿宋" w:eastAsia="仿宋"/>
          <w:bCs/>
          <w:szCs w:val="32"/>
          <w:vertAlign w:val="subscript"/>
        </w:rPr>
        <w:t>50</w:t>
      </w:r>
      <w:r>
        <w:rPr>
          <w:rFonts w:hint="eastAsia" w:ascii="仿宋" w:hAnsi="仿宋" w:eastAsia="仿宋"/>
          <w:bCs/>
          <w:szCs w:val="32"/>
        </w:rPr>
        <w:t>≤</w:t>
      </w:r>
      <w:r>
        <w:rPr>
          <w:rFonts w:ascii="仿宋" w:hAnsi="仿宋" w:eastAsia="仿宋"/>
          <w:bCs/>
          <w:szCs w:val="32"/>
        </w:rPr>
        <w:t>5mg/kg</w:t>
      </w:r>
      <w:r>
        <w:rPr>
          <w:rFonts w:hint="eastAsia" w:ascii="仿宋" w:hAnsi="仿宋" w:eastAsia="仿宋"/>
          <w:bCs/>
          <w:szCs w:val="32"/>
        </w:rPr>
        <w:t>，经皮</w:t>
      </w:r>
      <w:r>
        <w:rPr>
          <w:rFonts w:ascii="仿宋" w:hAnsi="仿宋" w:eastAsia="仿宋"/>
          <w:bCs/>
          <w:szCs w:val="32"/>
        </w:rPr>
        <w:t>LD</w:t>
      </w:r>
      <w:r>
        <w:rPr>
          <w:rFonts w:ascii="仿宋" w:hAnsi="仿宋" w:eastAsia="仿宋"/>
          <w:bCs/>
          <w:szCs w:val="32"/>
          <w:vertAlign w:val="subscript"/>
        </w:rPr>
        <w:t>50</w:t>
      </w:r>
      <w:r>
        <w:rPr>
          <w:rFonts w:hint="eastAsia" w:ascii="仿宋" w:hAnsi="仿宋" w:eastAsia="仿宋"/>
          <w:bCs/>
          <w:szCs w:val="32"/>
        </w:rPr>
        <w:t>≤</w:t>
      </w:r>
      <w:r>
        <w:rPr>
          <w:rFonts w:ascii="仿宋" w:hAnsi="仿宋" w:eastAsia="仿宋"/>
          <w:bCs/>
          <w:szCs w:val="32"/>
        </w:rPr>
        <w:t>50mg/kg</w:t>
      </w:r>
      <w:r>
        <w:rPr>
          <w:rFonts w:hint="eastAsia" w:ascii="仿宋" w:hAnsi="仿宋" w:eastAsia="仿宋"/>
          <w:bCs/>
          <w:szCs w:val="32"/>
        </w:rPr>
        <w:t>，吸入（</w:t>
      </w:r>
      <w:r>
        <w:rPr>
          <w:rFonts w:ascii="仿宋" w:hAnsi="仿宋" w:eastAsia="仿宋"/>
          <w:bCs/>
          <w:szCs w:val="32"/>
        </w:rPr>
        <w:t>4h</w:t>
      </w:r>
      <w:r>
        <w:rPr>
          <w:rFonts w:hint="eastAsia" w:ascii="仿宋" w:hAnsi="仿宋" w:eastAsia="仿宋"/>
          <w:bCs/>
          <w:szCs w:val="32"/>
        </w:rPr>
        <w:t>）</w:t>
      </w:r>
      <w:r>
        <w:rPr>
          <w:rFonts w:ascii="仿宋" w:hAnsi="仿宋" w:eastAsia="仿宋"/>
          <w:bCs/>
          <w:szCs w:val="32"/>
        </w:rPr>
        <w:t>LC</w:t>
      </w:r>
      <w:r>
        <w:rPr>
          <w:rFonts w:ascii="仿宋" w:hAnsi="仿宋" w:eastAsia="仿宋"/>
          <w:bCs/>
          <w:szCs w:val="32"/>
          <w:vertAlign w:val="subscript"/>
        </w:rPr>
        <w:t>50</w:t>
      </w:r>
      <w:r>
        <w:rPr>
          <w:rFonts w:hint="eastAsia" w:ascii="仿宋" w:hAnsi="仿宋" w:eastAsia="仿宋"/>
          <w:bCs/>
          <w:szCs w:val="32"/>
        </w:rPr>
        <w:t>≤</w:t>
      </w:r>
      <w:r>
        <w:rPr>
          <w:rFonts w:ascii="仿宋" w:hAnsi="仿宋" w:eastAsia="仿宋"/>
          <w:bCs/>
          <w:szCs w:val="32"/>
        </w:rPr>
        <w:t>100ml/m</w:t>
      </w:r>
      <w:r>
        <w:rPr>
          <w:rFonts w:ascii="仿宋" w:hAnsi="仿宋" w:eastAsia="仿宋"/>
          <w:bCs/>
          <w:szCs w:val="32"/>
          <w:vertAlign w:val="superscript"/>
        </w:rPr>
        <w:t>3</w:t>
      </w:r>
      <w:r>
        <w:rPr>
          <w:rFonts w:hint="eastAsia" w:ascii="仿宋" w:hAnsi="仿宋" w:eastAsia="仿宋"/>
          <w:bCs/>
          <w:szCs w:val="32"/>
        </w:rPr>
        <w:t>（气体）或</w:t>
      </w:r>
      <w:r>
        <w:rPr>
          <w:rFonts w:ascii="仿宋" w:hAnsi="仿宋" w:eastAsia="仿宋"/>
          <w:bCs/>
          <w:szCs w:val="32"/>
        </w:rPr>
        <w:t>0.5mg/L</w:t>
      </w:r>
      <w:r>
        <w:rPr>
          <w:rFonts w:hint="eastAsia" w:ascii="仿宋" w:hAnsi="仿宋" w:eastAsia="仿宋"/>
          <w:bCs/>
          <w:szCs w:val="32"/>
        </w:rPr>
        <w:t>（蒸气）或</w:t>
      </w:r>
      <w:r>
        <w:rPr>
          <w:rFonts w:ascii="仿宋" w:hAnsi="仿宋" w:eastAsia="仿宋"/>
          <w:bCs/>
          <w:szCs w:val="32"/>
        </w:rPr>
        <w:t>0.05mg/L</w:t>
      </w:r>
      <w:r>
        <w:rPr>
          <w:rFonts w:hint="eastAsia" w:ascii="仿宋" w:hAnsi="仿宋" w:eastAsia="仿宋"/>
          <w:bCs/>
          <w:szCs w:val="32"/>
        </w:rPr>
        <w:t>（尘、雾）。经皮</w:t>
      </w:r>
      <w:r>
        <w:rPr>
          <w:rFonts w:ascii="仿宋" w:hAnsi="仿宋" w:eastAsia="仿宋"/>
          <w:bCs/>
          <w:szCs w:val="32"/>
        </w:rPr>
        <w:t>LD</w:t>
      </w:r>
      <w:r>
        <w:rPr>
          <w:rFonts w:ascii="仿宋" w:hAnsi="仿宋" w:eastAsia="仿宋"/>
          <w:bCs/>
          <w:szCs w:val="32"/>
          <w:vertAlign w:val="subscript"/>
        </w:rPr>
        <w:t>50</w:t>
      </w:r>
      <w:r>
        <w:rPr>
          <w:rFonts w:hint="eastAsia" w:ascii="仿宋" w:hAnsi="仿宋" w:eastAsia="仿宋"/>
          <w:bCs/>
          <w:szCs w:val="32"/>
        </w:rPr>
        <w:t>的实验数据，也可使用兔实验数据。</w:t>
      </w:r>
    </w:p>
    <w:p>
      <w:pPr>
        <w:spacing w:line="540" w:lineRule="exact"/>
        <w:ind w:firstLine="415" w:firstLineChars="198"/>
        <w:outlineLvl w:val="0"/>
        <w:rPr>
          <w:rFonts w:ascii="黑体" w:hAnsi="黑体" w:eastAsia="黑体"/>
          <w:szCs w:val="32"/>
        </w:rPr>
      </w:pPr>
      <w:r>
        <w:rPr>
          <w:rFonts w:hint="eastAsia" w:ascii="黑体" w:hAnsi="黑体" w:eastAsia="黑体"/>
          <w:szCs w:val="32"/>
        </w:rPr>
        <w:t>三、《危险化学品目录》各栏目的含义</w:t>
      </w:r>
    </w:p>
    <w:p>
      <w:pPr>
        <w:spacing w:line="540" w:lineRule="exact"/>
        <w:ind w:firstLine="420" w:firstLineChars="200"/>
        <w:rPr>
          <w:rFonts w:ascii="仿宋" w:hAnsi="仿宋" w:eastAsia="仿宋"/>
          <w:szCs w:val="32"/>
        </w:rPr>
      </w:pPr>
      <w:r>
        <w:rPr>
          <w:rFonts w:hint="eastAsia" w:ascii="仿宋" w:hAnsi="仿宋" w:eastAsia="仿宋"/>
          <w:szCs w:val="32"/>
        </w:rPr>
        <w:t>（一）“序号”是指</w:t>
      </w:r>
      <w:bookmarkStart w:id="1" w:name="OLE_LINK1"/>
      <w:bookmarkStart w:id="2" w:name="OLE_LINK2"/>
      <w:r>
        <w:rPr>
          <w:rFonts w:hint="eastAsia" w:ascii="仿宋" w:hAnsi="仿宋" w:eastAsia="仿宋"/>
          <w:szCs w:val="32"/>
        </w:rPr>
        <w:t>《危险化学品目录》</w:t>
      </w:r>
      <w:bookmarkEnd w:id="1"/>
      <w:bookmarkEnd w:id="2"/>
      <w:r>
        <w:rPr>
          <w:rFonts w:hint="eastAsia" w:ascii="仿宋" w:hAnsi="仿宋" w:eastAsia="仿宋"/>
          <w:szCs w:val="32"/>
        </w:rPr>
        <w:t>中化学品的顺序号。</w:t>
      </w:r>
    </w:p>
    <w:p>
      <w:pPr>
        <w:spacing w:line="540" w:lineRule="exact"/>
        <w:ind w:firstLine="420" w:firstLineChars="200"/>
        <w:rPr>
          <w:rFonts w:ascii="仿宋" w:hAnsi="仿宋" w:eastAsia="仿宋"/>
          <w:szCs w:val="32"/>
        </w:rPr>
      </w:pPr>
      <w:r>
        <w:rPr>
          <w:rFonts w:hint="eastAsia" w:ascii="仿宋" w:hAnsi="仿宋" w:eastAsia="仿宋"/>
          <w:szCs w:val="32"/>
        </w:rPr>
        <w:t>（二）“品名”是指根据《化学命名原则》（</w:t>
      </w:r>
      <w:r>
        <w:rPr>
          <w:rFonts w:ascii="仿宋" w:hAnsi="仿宋" w:eastAsia="仿宋"/>
          <w:szCs w:val="32"/>
        </w:rPr>
        <w:t>1980</w:t>
      </w:r>
      <w:r>
        <w:rPr>
          <w:rFonts w:hint="eastAsia" w:ascii="仿宋" w:hAnsi="仿宋" w:eastAsia="仿宋"/>
          <w:szCs w:val="32"/>
        </w:rPr>
        <w:t>）确定的名称。</w:t>
      </w:r>
    </w:p>
    <w:p>
      <w:pPr>
        <w:spacing w:line="540" w:lineRule="exact"/>
        <w:ind w:firstLine="420" w:firstLineChars="200"/>
        <w:rPr>
          <w:rFonts w:ascii="仿宋" w:hAnsi="仿宋" w:eastAsia="仿宋"/>
          <w:szCs w:val="32"/>
        </w:rPr>
      </w:pPr>
      <w:r>
        <w:rPr>
          <w:rFonts w:hint="eastAsia" w:ascii="仿宋" w:hAnsi="仿宋" w:eastAsia="仿宋"/>
          <w:szCs w:val="32"/>
        </w:rPr>
        <w:t>（三）“别名”是指除“品名”以外的其他名称，包括通用名、俗名等。</w:t>
      </w:r>
    </w:p>
    <w:p>
      <w:pPr>
        <w:spacing w:line="540" w:lineRule="exact"/>
        <w:rPr>
          <w:rFonts w:ascii="仿宋" w:hAnsi="仿宋" w:eastAsia="仿宋"/>
          <w:szCs w:val="32"/>
        </w:rPr>
      </w:pPr>
      <w:r>
        <w:rPr>
          <w:rFonts w:ascii="仿宋" w:hAnsi="仿宋" w:eastAsia="仿宋"/>
          <w:szCs w:val="32"/>
        </w:rPr>
        <w:t xml:space="preserve">    </w:t>
      </w:r>
      <w:r>
        <w:rPr>
          <w:rFonts w:hint="eastAsia" w:ascii="仿宋" w:hAnsi="仿宋" w:eastAsia="仿宋"/>
          <w:szCs w:val="32"/>
        </w:rPr>
        <w:t>（四）“</w:t>
      </w:r>
      <w:r>
        <w:rPr>
          <w:rFonts w:ascii="仿宋" w:hAnsi="仿宋" w:eastAsia="仿宋"/>
          <w:szCs w:val="32"/>
        </w:rPr>
        <w:t>CAS</w:t>
      </w:r>
      <w:r>
        <w:rPr>
          <w:rFonts w:hint="eastAsia" w:ascii="仿宋" w:hAnsi="仿宋" w:eastAsia="仿宋"/>
          <w:szCs w:val="32"/>
        </w:rPr>
        <w:t>号”</w:t>
      </w:r>
      <w:r>
        <w:rPr>
          <w:rFonts w:hint="eastAsia" w:ascii="仿宋" w:hAnsi="仿宋" w:eastAsia="仿宋"/>
          <w:bCs/>
          <w:szCs w:val="32"/>
        </w:rPr>
        <w:t>是</w:t>
      </w:r>
      <w:r>
        <w:rPr>
          <w:rFonts w:hint="eastAsia" w:ascii="仿宋" w:hAnsi="仿宋" w:eastAsia="仿宋"/>
          <w:szCs w:val="32"/>
        </w:rPr>
        <w:t>指美国化学文摘社对化学品的唯一登记号。</w:t>
      </w:r>
    </w:p>
    <w:p>
      <w:pPr>
        <w:spacing w:line="540" w:lineRule="exact"/>
        <w:ind w:firstLine="420" w:firstLineChars="200"/>
        <w:rPr>
          <w:rFonts w:ascii="仿宋" w:hAnsi="仿宋" w:eastAsia="仿宋"/>
          <w:szCs w:val="32"/>
        </w:rPr>
      </w:pPr>
      <w:r>
        <w:rPr>
          <w:rFonts w:hint="eastAsia" w:ascii="仿宋" w:hAnsi="仿宋" w:eastAsia="仿宋"/>
          <w:szCs w:val="32"/>
        </w:rPr>
        <w:t>（五）“备注”是对剧毒化学品的特别注明。</w:t>
      </w:r>
    </w:p>
    <w:p>
      <w:pPr>
        <w:spacing w:line="540" w:lineRule="exact"/>
        <w:ind w:firstLine="415" w:firstLineChars="198"/>
        <w:outlineLvl w:val="0"/>
        <w:rPr>
          <w:rFonts w:ascii="黑体" w:hAnsi="黑体" w:eastAsia="黑体"/>
          <w:szCs w:val="32"/>
        </w:rPr>
      </w:pPr>
      <w:r>
        <w:rPr>
          <w:rFonts w:hint="eastAsia" w:ascii="黑体" w:hAnsi="黑体" w:eastAsia="黑体"/>
          <w:szCs w:val="32"/>
        </w:rPr>
        <w:t>四、其他事项</w:t>
      </w:r>
    </w:p>
    <w:p>
      <w:pPr>
        <w:spacing w:line="540" w:lineRule="exact"/>
        <w:ind w:firstLine="315" w:firstLineChars="150"/>
        <w:rPr>
          <w:rFonts w:ascii="仿宋" w:hAnsi="仿宋" w:eastAsia="仿宋"/>
          <w:bCs/>
          <w:szCs w:val="32"/>
        </w:rPr>
      </w:pPr>
      <w:r>
        <w:rPr>
          <w:rFonts w:hint="eastAsia" w:ascii="仿宋" w:hAnsi="仿宋" w:eastAsia="仿宋"/>
          <w:bCs/>
          <w:szCs w:val="32"/>
        </w:rPr>
        <w:t>（一）</w:t>
      </w:r>
      <w:r>
        <w:rPr>
          <w:rFonts w:hint="eastAsia" w:ascii="仿宋" w:hAnsi="仿宋" w:eastAsia="仿宋"/>
          <w:szCs w:val="32"/>
        </w:rPr>
        <w:t>《危险化学品目录》</w:t>
      </w:r>
      <w:r>
        <w:rPr>
          <w:rFonts w:hint="eastAsia" w:ascii="仿宋" w:hAnsi="仿宋" w:eastAsia="仿宋"/>
          <w:bCs/>
          <w:szCs w:val="32"/>
        </w:rPr>
        <w:t>按“品名”汉字的汉语拼音排序。</w:t>
      </w:r>
    </w:p>
    <w:p>
      <w:pPr>
        <w:spacing w:line="540" w:lineRule="exact"/>
        <w:ind w:firstLine="315" w:firstLineChars="150"/>
        <w:rPr>
          <w:rFonts w:ascii="仿宋" w:hAnsi="仿宋" w:eastAsia="仿宋"/>
          <w:bCs/>
          <w:szCs w:val="32"/>
        </w:rPr>
      </w:pPr>
      <w:r>
        <w:rPr>
          <w:rFonts w:hint="eastAsia" w:ascii="仿宋" w:hAnsi="仿宋" w:eastAsia="仿宋"/>
          <w:bCs/>
          <w:szCs w:val="32"/>
        </w:rPr>
        <w:t>（二）</w:t>
      </w:r>
      <w:r>
        <w:rPr>
          <w:rFonts w:hint="eastAsia" w:ascii="仿宋" w:hAnsi="仿宋" w:eastAsia="仿宋"/>
          <w:szCs w:val="32"/>
        </w:rPr>
        <w:t>《危险化学品目录》</w:t>
      </w:r>
      <w:r>
        <w:rPr>
          <w:rFonts w:hint="eastAsia" w:ascii="仿宋" w:hAnsi="仿宋" w:eastAsia="仿宋"/>
          <w:bCs/>
          <w:szCs w:val="32"/>
        </w:rPr>
        <w:t>中除列明的条目外，无机盐类同时包括无水和含有结晶水的化合物。</w:t>
      </w:r>
    </w:p>
    <w:p>
      <w:pPr>
        <w:spacing w:line="540" w:lineRule="exact"/>
        <w:ind w:firstLine="315" w:firstLineChars="150"/>
        <w:rPr>
          <w:rFonts w:ascii="仿宋" w:hAnsi="仿宋" w:eastAsia="仿宋"/>
          <w:bCs/>
          <w:szCs w:val="32"/>
        </w:rPr>
      </w:pPr>
      <w:r>
        <w:rPr>
          <w:rFonts w:hint="eastAsia" w:ascii="仿宋" w:hAnsi="仿宋" w:eastAsia="仿宋"/>
          <w:bCs/>
          <w:szCs w:val="32"/>
        </w:rPr>
        <w:t>（三）序号</w:t>
      </w:r>
      <w:r>
        <w:rPr>
          <w:rFonts w:ascii="仿宋" w:hAnsi="仿宋" w:eastAsia="仿宋"/>
          <w:bCs/>
          <w:szCs w:val="32"/>
        </w:rPr>
        <w:t>2828</w:t>
      </w:r>
      <w:r>
        <w:rPr>
          <w:rFonts w:hint="eastAsia" w:ascii="仿宋" w:hAnsi="仿宋" w:eastAsia="仿宋"/>
          <w:bCs/>
          <w:szCs w:val="32"/>
        </w:rPr>
        <w:t>是类属条目，</w:t>
      </w:r>
      <w:r>
        <w:rPr>
          <w:rFonts w:hint="eastAsia" w:ascii="仿宋" w:hAnsi="仿宋" w:eastAsia="仿宋"/>
          <w:szCs w:val="32"/>
        </w:rPr>
        <w:t>《危险化学品目录》</w:t>
      </w:r>
      <w:r>
        <w:rPr>
          <w:rFonts w:hint="eastAsia" w:ascii="仿宋" w:hAnsi="仿宋" w:eastAsia="仿宋"/>
          <w:bCs/>
          <w:szCs w:val="32"/>
        </w:rPr>
        <w:t>中除列明的条目外，符合相应条件的，属于危险化学品。</w:t>
      </w:r>
    </w:p>
    <w:p>
      <w:pPr>
        <w:spacing w:line="540" w:lineRule="exact"/>
        <w:ind w:firstLine="315" w:firstLineChars="150"/>
        <w:rPr>
          <w:rFonts w:ascii="仿宋" w:hAnsi="仿宋" w:eastAsia="仿宋"/>
          <w:bCs/>
          <w:szCs w:val="32"/>
        </w:rPr>
      </w:pPr>
      <w:r>
        <w:rPr>
          <w:rFonts w:hint="eastAsia" w:ascii="仿宋" w:hAnsi="仿宋" w:eastAsia="仿宋"/>
          <w:bCs/>
          <w:szCs w:val="32"/>
        </w:rPr>
        <w:t>（四）</w:t>
      </w:r>
      <w:r>
        <w:rPr>
          <w:rFonts w:hint="eastAsia" w:ascii="仿宋" w:hAnsi="仿宋" w:eastAsia="仿宋"/>
          <w:szCs w:val="32"/>
        </w:rPr>
        <w:t>《危险化学品目录》</w:t>
      </w:r>
      <w:r>
        <w:rPr>
          <w:rFonts w:hint="eastAsia" w:ascii="仿宋" w:hAnsi="仿宋" w:eastAsia="仿宋"/>
          <w:bCs/>
          <w:szCs w:val="32"/>
        </w:rPr>
        <w:t>中除混合物之外无含量说明的条目，是指该条目的工业产品或者纯度高于工业产品的化学品，用作农药用途时，是指其原药。</w:t>
      </w:r>
    </w:p>
    <w:p>
      <w:pPr>
        <w:spacing w:line="540" w:lineRule="exact"/>
        <w:ind w:firstLine="315" w:firstLineChars="150"/>
        <w:rPr>
          <w:rFonts w:ascii="仿宋" w:hAnsi="仿宋" w:eastAsia="仿宋"/>
          <w:bCs/>
          <w:szCs w:val="32"/>
        </w:rPr>
      </w:pPr>
      <w:r>
        <w:rPr>
          <w:rFonts w:hint="eastAsia" w:ascii="仿宋" w:hAnsi="仿宋" w:eastAsia="仿宋"/>
          <w:bCs/>
          <w:szCs w:val="32"/>
        </w:rPr>
        <w:t>（五）</w:t>
      </w:r>
      <w:r>
        <w:rPr>
          <w:rFonts w:hint="eastAsia" w:ascii="仿宋" w:hAnsi="仿宋" w:eastAsia="仿宋"/>
          <w:szCs w:val="32"/>
        </w:rPr>
        <w:t>《危险化学品目录》</w:t>
      </w:r>
      <w:r>
        <w:rPr>
          <w:rFonts w:hint="eastAsia" w:ascii="仿宋" w:hAnsi="仿宋" w:eastAsia="仿宋"/>
          <w:bCs/>
          <w:szCs w:val="32"/>
        </w:rPr>
        <w:t>中的农药条目结合其物理危险性、健康危害、环境危害及农药管理情况综合确定。</w:t>
      </w:r>
    </w:p>
    <w:p>
      <w:pPr>
        <w:spacing w:line="500" w:lineRule="exact"/>
        <w:ind w:firstLine="420" w:firstLineChars="200"/>
        <w:rPr>
          <w:rFonts w:ascii="仿宋" w:hAnsi="仿宋" w:eastAsia="仿宋"/>
          <w:bCs/>
          <w:szCs w:val="32"/>
        </w:rPr>
        <w:sectPr>
          <w:headerReference r:id="rId6" w:type="default"/>
          <w:footerReference r:id="rId7" w:type="default"/>
          <w:footerReference r:id="rId8" w:type="even"/>
          <w:pgSz w:w="11906" w:h="16838"/>
          <w:pgMar w:top="1701" w:right="1418" w:bottom="1304" w:left="1418" w:header="851" w:footer="992" w:gutter="0"/>
          <w:pgNumType w:start="0"/>
          <w:cols w:space="720" w:num="1"/>
          <w:titlePg/>
          <w:docGrid w:type="lines" w:linePitch="312" w:charSpace="0"/>
        </w:sectPr>
      </w:pPr>
    </w:p>
    <w:p>
      <w:pPr>
        <w:pStyle w:val="4"/>
        <w:bidi w:val="0"/>
      </w:pPr>
      <w:r>
        <w:t>林学实验教学中心特种设备安全管理制度</w:t>
      </w:r>
    </w:p>
    <w:p>
      <w:pPr>
        <w:bidi w:val="0"/>
        <w:ind w:firstLine="420" w:firstLineChars="200"/>
      </w:pPr>
      <w:r>
        <w:t>为防止发生意外事故，确保人身生命安全，根据山东省高校工委、山东省质量技术监督局、山东省教育厅《加强学校特种设备安全管理》的要求，制定本制度。</w:t>
      </w:r>
    </w:p>
    <w:p>
      <w:pPr>
        <w:bidi w:val="0"/>
        <w:ind w:firstLine="420" w:firstLineChars="200"/>
      </w:pPr>
      <w:r>
        <w:rPr>
          <w:rFonts w:hint="eastAsia"/>
          <w:lang w:val="en-US" w:eastAsia="zh-CN"/>
        </w:rPr>
        <w:t>1、</w:t>
      </w:r>
      <w:r>
        <w:t>特种设备是指涉及生命安全、危险性较大的锅炉、压力容器、压力管道、电梯等。</w:t>
      </w:r>
    </w:p>
    <w:p>
      <w:pPr>
        <w:bidi w:val="0"/>
        <w:ind w:firstLine="420" w:firstLineChars="200"/>
      </w:pPr>
      <w:r>
        <w:rPr>
          <w:rFonts w:hint="eastAsia"/>
          <w:lang w:val="en-US" w:eastAsia="zh-CN"/>
        </w:rPr>
        <w:t>2、</w:t>
      </w:r>
      <w:r>
        <w:t>购置和使用特种设备，必须是符合安全要求的合格产品。</w:t>
      </w:r>
    </w:p>
    <w:p>
      <w:pPr>
        <w:bidi w:val="0"/>
        <w:ind w:firstLine="420" w:firstLineChars="200"/>
      </w:pPr>
      <w:r>
        <w:rPr>
          <w:rFonts w:hint="eastAsia"/>
          <w:lang w:val="en-US" w:eastAsia="zh-CN"/>
        </w:rPr>
        <w:t>3、</w:t>
      </w:r>
      <w:r>
        <w:t>特种设备必须由具备资质的生产单位负责安装、维修、检验。</w:t>
      </w:r>
    </w:p>
    <w:p>
      <w:pPr>
        <w:bidi w:val="0"/>
        <w:ind w:firstLine="420" w:firstLineChars="200"/>
      </w:pPr>
      <w:r>
        <w:rPr>
          <w:rFonts w:hint="eastAsia"/>
          <w:lang w:val="en-US" w:eastAsia="zh-CN"/>
        </w:rPr>
        <w:t>4、</w:t>
      </w:r>
      <w:r>
        <w:t>使用特种设备前须到市质量技术监督局办理注册登记手续。</w:t>
      </w:r>
    </w:p>
    <w:p>
      <w:pPr>
        <w:bidi w:val="0"/>
        <w:ind w:firstLine="420" w:firstLineChars="200"/>
      </w:pPr>
      <w:r>
        <w:rPr>
          <w:rFonts w:hint="eastAsia"/>
          <w:lang w:val="en-US" w:eastAsia="zh-CN"/>
        </w:rPr>
        <w:t>5、</w:t>
      </w:r>
      <w:r>
        <w:rPr>
          <w:rFonts w:hint="eastAsia"/>
          <w:lang w:eastAsia="zh-CN"/>
        </w:rPr>
        <w:t>各实验室应</w:t>
      </w:r>
      <w:r>
        <w:t>指定专人管理特种设备，根据安全要求存放。</w:t>
      </w:r>
    </w:p>
    <w:p>
      <w:pPr>
        <w:bidi w:val="0"/>
        <w:ind w:firstLine="420" w:firstLineChars="200"/>
      </w:pPr>
      <w:r>
        <w:rPr>
          <w:rFonts w:hint="eastAsia"/>
          <w:lang w:val="en-US" w:eastAsia="zh-CN"/>
        </w:rPr>
        <w:t>6、</w:t>
      </w:r>
      <w:r>
        <w:t>特种设备操作人员必须进行业务培训，经市质量技术监督局考核合格，获得资格证书，方能上岗。使用特种仪器，必须经</w:t>
      </w:r>
      <w:r>
        <w:rPr>
          <w:rFonts w:hint="eastAsia"/>
          <w:lang w:eastAsia="zh-CN"/>
        </w:rPr>
        <w:t>各实验室负责人</w:t>
      </w:r>
      <w:r>
        <w:t>批准，安排获得资格证书者负责操作。</w:t>
      </w:r>
    </w:p>
    <w:p>
      <w:pPr>
        <w:bidi w:val="0"/>
        <w:ind w:firstLine="420" w:firstLineChars="200"/>
      </w:pPr>
      <w:r>
        <w:rPr>
          <w:rFonts w:hint="eastAsia"/>
          <w:lang w:val="en-US" w:eastAsia="zh-CN"/>
        </w:rPr>
        <w:t>7、</w:t>
      </w:r>
      <w:r>
        <w:t>建立特种设备安全技术档案。主要包括：产品质量合格证书、使用维护说明书、定期检验报告、定期自行检查记录、日常维修保养记录、日常使用记录。</w:t>
      </w:r>
    </w:p>
    <w:p>
      <w:pPr>
        <w:bidi w:val="0"/>
        <w:ind w:firstLine="420" w:firstLineChars="200"/>
      </w:pPr>
      <w:r>
        <w:rPr>
          <w:rFonts w:hint="eastAsia"/>
          <w:lang w:val="en-US" w:eastAsia="zh-CN"/>
        </w:rPr>
        <w:t>8、</w:t>
      </w:r>
      <w:r>
        <w:t>根据安全技术规范规定的检验周期，提前一个月向特种设备检验检测机构申请进行检验</w:t>
      </w:r>
      <w:r>
        <w:rPr>
          <w:rFonts w:hint="eastAsia"/>
          <w:lang w:eastAsia="zh-CN"/>
        </w:rPr>
        <w:t>。</w:t>
      </w:r>
      <w:r>
        <w:t>未经定期检验或检验不合格的特种设备，严禁继续使用。</w:t>
      </w:r>
    </w:p>
    <w:p>
      <w:pPr>
        <w:bidi w:val="0"/>
        <w:ind w:firstLine="420" w:firstLineChars="200"/>
      </w:pPr>
      <w:r>
        <w:rPr>
          <w:rFonts w:hint="eastAsia"/>
          <w:lang w:val="en-US" w:eastAsia="zh-CN"/>
        </w:rPr>
        <w:t>9</w:t>
      </w:r>
      <w:r>
        <w:t>特种设备管理员应定期对特种设备进行维修保养与检查，确保无故障或隐患时方能使用。</w:t>
      </w:r>
    </w:p>
    <w:p>
      <w:pPr>
        <w:bidi w:val="0"/>
        <w:ind w:firstLine="420" w:firstLineChars="200"/>
      </w:pPr>
      <w:r>
        <w:rPr>
          <w:rFonts w:hint="eastAsia"/>
          <w:lang w:val="en-US" w:eastAsia="zh-CN"/>
        </w:rPr>
        <w:t>10、</w:t>
      </w:r>
      <w:r>
        <w:t>对特种设备操作管理人员发放责任津贴。</w:t>
      </w:r>
    </w:p>
    <w:p>
      <w:pPr>
        <w:bidi w:val="0"/>
        <w:rPr>
          <w:rFonts w:hint="eastAsia"/>
        </w:rPr>
      </w:pPr>
    </w:p>
    <w:p>
      <w:pPr>
        <w:bidi w:val="0"/>
        <w:rPr>
          <w:rFonts w:hint="eastAsia"/>
        </w:rPr>
      </w:pPr>
      <w:r>
        <w:rPr>
          <w:rFonts w:hint="eastAsia"/>
        </w:rPr>
        <w:t xml:space="preserve">                                                                                 </w:t>
      </w:r>
    </w:p>
    <w:p>
      <w:pPr>
        <w:bidi w:val="0"/>
      </w:pPr>
    </w:p>
    <w:p>
      <w:pPr>
        <w:pStyle w:val="4"/>
        <w:bidi w:val="0"/>
        <w:rPr>
          <w:rFonts w:hint="eastAsia"/>
          <w:lang w:val="en-US" w:eastAsia="zh-CN"/>
        </w:rPr>
      </w:pPr>
      <w:r>
        <w:rPr>
          <w:rFonts w:hint="eastAsia"/>
          <w:lang w:val="en-US" w:eastAsia="zh-CN"/>
        </w:rPr>
        <w:t>实验室管理工作档案清单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1</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林学院实验室规章制度简要手册（学院统一印制）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2</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实验室制度与安全卫生守则（上墙，学院统一印制）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3</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实验室安全卫生承诺签字表（学院统一印制）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4</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实验室安全检查记录（学院统一印制，责任人每日检查签字）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5</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实验室四合一记录本（实验室使用记录、实验室维护检修记录、实验室培训记录、特种设备使用记录）（学院统一印制）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6</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实验用品、化学药品（含危化品）购买使用登记表（学院统一印制）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7</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实验室易制毒化学品采购申请表（电子版自行打印）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8</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实验室危险废物管理台账（电子版自行打印）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9</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应急处置预案（电子版自行打印，贴于门后）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10</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实验室安全卫生值日表（自行设计、张贴）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11</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烘箱、压力容器、大型设备等制定操作规范及注意事项（自行准备，并放于仪器附近显著位置处）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jc w:val="center"/>
              <w:rPr>
                <w:rFonts w:hint="default"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12</w:t>
            </w:r>
          </w:p>
        </w:tc>
        <w:tc>
          <w:tcPr>
            <w:tcW w:w="7743" w:type="dxa"/>
          </w:tcPr>
          <w:p>
            <w:pPr>
              <w:jc w:val="both"/>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28"/>
                <w:szCs w:val="28"/>
                <w:lang w:val="en-US" w:eastAsia="zh-CN" w:bidi="ar-SA"/>
                <w14:textFill>
                  <w14:solidFill>
                    <w14:schemeClr w14:val="tx1"/>
                  </w14:solidFill>
                </w14:textFill>
              </w:rPr>
              <w:t>实验室废液相容表（学院印制，贴于门后）</w:t>
            </w:r>
          </w:p>
        </w:tc>
      </w:tr>
    </w:tbl>
    <w:p>
      <w:pPr>
        <w:bidi w:val="0"/>
        <w:rPr>
          <w:rFonts w:hint="eastAsia"/>
          <w:lang w:val="en-US" w:eastAsia="zh-CN"/>
        </w:rPr>
      </w:pPr>
    </w:p>
    <w:p>
      <w:pPr>
        <w:bidi w:val="0"/>
        <w:rPr>
          <w:rFonts w:hint="eastAsia"/>
          <w:lang w:val="en-US" w:eastAsia="zh-CN"/>
        </w:rPr>
      </w:pPr>
    </w:p>
    <w:sectPr>
      <w:pgSz w:w="11906" w:h="16838"/>
      <w:pgMar w:top="1327" w:right="1576" w:bottom="127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bidi w:val="0"/>
      <w:jc w:val="right"/>
      <w:rPr>
        <w:rFonts w:hint="eastAsia"/>
        <w:lang w:eastAsia="zh-CN"/>
      </w:rPr>
    </w:pPr>
    <w:r>
      <w:rPr>
        <w:rFonts w:hint="eastAsia"/>
        <w:lang w:eastAsia="zh-CN"/>
      </w:rPr>
      <w:t>林学院实验室规章制度简要手册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WU5YzZlYjE2NWUwNmVhM2I0MzFhMzA4NTkzMmUifQ=="/>
    <w:docVar w:name="KSO_WPS_MARK_KEY" w:val="8ba68606-bccb-4d33-99ab-bd5b113fa263"/>
  </w:docVars>
  <w:rsids>
    <w:rsidRoot w:val="59AC5575"/>
    <w:rsid w:val="11F7057D"/>
    <w:rsid w:val="1CD150CE"/>
    <w:rsid w:val="31A42662"/>
    <w:rsid w:val="3CEA3C8A"/>
    <w:rsid w:val="41644820"/>
    <w:rsid w:val="43BE7480"/>
    <w:rsid w:val="4CDF4158"/>
    <w:rsid w:val="59AC5575"/>
    <w:rsid w:val="6C6C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75" w:after="75"/>
      <w:ind w:left="75" w:right="75" w:firstLine="360"/>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qFormat/>
    <w:uiPriority w:val="0"/>
    <w:rPr>
      <w:color w:val="000000"/>
      <w:sz w:val="18"/>
      <w:szCs w:val="18"/>
      <w:u w:val="none"/>
    </w:rPr>
  </w:style>
  <w:style w:type="character" w:styleId="15">
    <w:name w:val="Hyperlink"/>
    <w:basedOn w:val="11"/>
    <w:qFormat/>
    <w:uiPriority w:val="0"/>
    <w:rPr>
      <w:color w:val="000000"/>
      <w:sz w:val="18"/>
      <w:szCs w:val="18"/>
      <w:u w:val="none"/>
    </w:rPr>
  </w:style>
  <w:style w:type="character" w:customStyle="1" w:styleId="16">
    <w:name w:val="green1"/>
    <w:basedOn w:val="11"/>
    <w:qFormat/>
    <w:uiPriority w:val="0"/>
    <w:rPr>
      <w:b/>
      <w:bCs/>
      <w:color w:val="006600"/>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2021-10-11T06:08:00Z</dcterms:created>
  <dc:creator>潮起潮落</dc:creator>
  <cp:lastModifiedBy>潮起潮落</cp:lastModifiedBy>
  <dcterms:modified xsi:type="dcterms:W3CDTF">2022-11-27T09:56:11Z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7AB2D9AAB7F74960B732B9BF4A14E7A0</vt:lpwstr>
  </property>
</Properties>
</file>